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296" w:rsidRPr="008A0308" w:rsidRDefault="00503296" w:rsidP="00503296">
      <w:pPr>
        <w:ind w:right="1274"/>
        <w:jc w:val="both"/>
        <w:rPr>
          <w:rFonts w:ascii="Tahoma" w:hAnsi="Tahoma" w:cs="Tahoma"/>
          <w:b/>
          <w:i/>
          <w:sz w:val="18"/>
          <w:szCs w:val="18"/>
        </w:rPr>
      </w:pPr>
    </w:p>
    <w:p w:rsidR="00503296" w:rsidRPr="008A0308" w:rsidRDefault="00503296" w:rsidP="00503296">
      <w:pPr>
        <w:ind w:left="2832" w:right="1843" w:hanging="1131"/>
        <w:jc w:val="both"/>
        <w:rPr>
          <w:rFonts w:ascii="Tahoma" w:hAnsi="Tahoma" w:cs="Tahoma"/>
          <w:b/>
          <w:i/>
          <w:sz w:val="18"/>
          <w:szCs w:val="18"/>
          <w:highlight w:val="yellow"/>
        </w:rPr>
      </w:pPr>
      <w:r w:rsidRPr="008A0308">
        <w:rPr>
          <w:rFonts w:ascii="Tahoma" w:hAnsi="Tahoma" w:cs="Tahoma"/>
          <w:b/>
          <w:i/>
          <w:sz w:val="18"/>
          <w:szCs w:val="18"/>
        </w:rPr>
        <w:t xml:space="preserve">Sumilla:    </w:t>
      </w:r>
      <w:r w:rsidR="003B3C54" w:rsidRPr="008A0308">
        <w:rPr>
          <w:rFonts w:ascii="Tahoma" w:hAnsi="Tahoma" w:cs="Tahoma"/>
          <w:b/>
          <w:i/>
          <w:sz w:val="18"/>
          <w:szCs w:val="18"/>
        </w:rPr>
        <w:t xml:space="preserve"> </w:t>
      </w:r>
      <w:r w:rsidRPr="008A0308">
        <w:rPr>
          <w:rFonts w:ascii="Tahoma" w:hAnsi="Tahoma" w:cs="Tahoma"/>
          <w:i/>
          <w:sz w:val="18"/>
          <w:szCs w:val="18"/>
        </w:rPr>
        <w:t>Por otro lado, el literal c) del artículo 76 del Reglamento establece que los postores y/o contratistas son responsables de la veracidad de los documentos e información que presentan para efectos de un proceso de selección determinado.</w:t>
      </w:r>
    </w:p>
    <w:p w:rsidR="00503296" w:rsidRPr="008A0308" w:rsidRDefault="00503296" w:rsidP="00503296">
      <w:pPr>
        <w:ind w:left="2694" w:right="991" w:hanging="1418"/>
        <w:jc w:val="right"/>
        <w:rPr>
          <w:rFonts w:ascii="Tahoma" w:hAnsi="Tahoma" w:cs="Tahoma"/>
          <w:b/>
          <w:i/>
          <w:sz w:val="21"/>
          <w:szCs w:val="21"/>
          <w:highlight w:val="yellow"/>
        </w:rPr>
      </w:pPr>
    </w:p>
    <w:p w:rsidR="00503296" w:rsidRPr="008A0308" w:rsidRDefault="00503296" w:rsidP="00503296">
      <w:pPr>
        <w:pStyle w:val="Textoindependiente3"/>
        <w:ind w:left="4956" w:firstLine="708"/>
        <w:rPr>
          <w:rFonts w:ascii="Tahoma" w:hAnsi="Tahoma" w:cs="Tahoma"/>
          <w:sz w:val="21"/>
          <w:szCs w:val="21"/>
        </w:rPr>
      </w:pPr>
      <w:r w:rsidRPr="008A0308">
        <w:rPr>
          <w:rFonts w:ascii="Tahoma" w:hAnsi="Tahoma" w:cs="Tahoma"/>
          <w:sz w:val="21"/>
          <w:szCs w:val="21"/>
        </w:rPr>
        <w:t xml:space="preserve">Lima, </w:t>
      </w:r>
      <w:r w:rsidR="00A472E6">
        <w:rPr>
          <w:rFonts w:ascii="Tahoma" w:hAnsi="Tahoma" w:cs="Tahoma"/>
          <w:sz w:val="21"/>
          <w:szCs w:val="21"/>
        </w:rPr>
        <w:t>14 de Marzo de 2011</w:t>
      </w:r>
    </w:p>
    <w:p w:rsidR="00503296" w:rsidRPr="008A0308" w:rsidRDefault="00503296" w:rsidP="00503296">
      <w:pPr>
        <w:pStyle w:val="Textoindependiente3"/>
        <w:rPr>
          <w:rFonts w:ascii="Tahoma" w:hAnsi="Tahoma" w:cs="Tahoma"/>
          <w:b/>
          <w:sz w:val="21"/>
          <w:szCs w:val="21"/>
        </w:rPr>
      </w:pPr>
    </w:p>
    <w:p w:rsidR="00503296" w:rsidRPr="008A0308" w:rsidRDefault="00503296" w:rsidP="00503296">
      <w:pPr>
        <w:tabs>
          <w:tab w:val="left" w:pos="8280"/>
        </w:tabs>
        <w:jc w:val="both"/>
        <w:rPr>
          <w:rFonts w:ascii="Tahoma" w:hAnsi="Tahoma" w:cs="Tahoma"/>
          <w:color w:val="000000"/>
          <w:sz w:val="21"/>
          <w:szCs w:val="21"/>
        </w:rPr>
      </w:pPr>
      <w:r w:rsidRPr="008A0308">
        <w:rPr>
          <w:rFonts w:ascii="Tahoma" w:hAnsi="Tahoma" w:cs="Tahoma"/>
          <w:b/>
          <w:sz w:val="21"/>
          <w:szCs w:val="21"/>
        </w:rPr>
        <w:t>VISTO,</w:t>
      </w:r>
      <w:r w:rsidRPr="008A0308">
        <w:rPr>
          <w:rFonts w:ascii="Tahoma" w:hAnsi="Tahoma" w:cs="Tahoma"/>
          <w:sz w:val="21"/>
          <w:szCs w:val="21"/>
        </w:rPr>
        <w:t xml:space="preserve"> </w:t>
      </w:r>
      <w:r w:rsidRPr="008A0308">
        <w:rPr>
          <w:rFonts w:ascii="Tahoma" w:hAnsi="Tahoma" w:cs="Tahoma"/>
          <w:color w:val="000000"/>
          <w:sz w:val="21"/>
          <w:szCs w:val="21"/>
        </w:rPr>
        <w:t xml:space="preserve">en sesión de fecha </w:t>
      </w:r>
      <w:r w:rsidR="008A0308" w:rsidRPr="008A0308">
        <w:rPr>
          <w:rFonts w:ascii="Tahoma" w:hAnsi="Tahoma" w:cs="Tahoma"/>
          <w:color w:val="000000"/>
          <w:sz w:val="21"/>
          <w:szCs w:val="21"/>
        </w:rPr>
        <w:t>04 de marzo</w:t>
      </w:r>
      <w:r w:rsidRPr="008A0308">
        <w:rPr>
          <w:rFonts w:ascii="Tahoma" w:hAnsi="Tahoma" w:cs="Tahoma"/>
          <w:color w:val="000000"/>
          <w:sz w:val="21"/>
          <w:szCs w:val="21"/>
        </w:rPr>
        <w:t xml:space="preserve"> de 2011 de la Tercera Sala del Tribunal de Contrataciones del Estado, el Expediente </w:t>
      </w:r>
      <w:r w:rsidRPr="008A0308">
        <w:rPr>
          <w:rFonts w:ascii="Tahoma" w:hAnsi="Tahoma" w:cs="Tahoma"/>
          <w:sz w:val="21"/>
          <w:szCs w:val="21"/>
        </w:rPr>
        <w:t xml:space="preserve">№ </w:t>
      </w:r>
      <w:r w:rsidR="008A0308" w:rsidRPr="008A0308">
        <w:rPr>
          <w:rFonts w:ascii="Tahoma" w:hAnsi="Tahoma" w:cs="Tahoma"/>
          <w:sz w:val="21"/>
          <w:szCs w:val="21"/>
        </w:rPr>
        <w:t>1627</w:t>
      </w:r>
      <w:r w:rsidR="00623C2C" w:rsidRPr="008A0308">
        <w:rPr>
          <w:rFonts w:ascii="Tahoma" w:hAnsi="Tahoma" w:cs="Tahoma"/>
          <w:sz w:val="21"/>
          <w:szCs w:val="21"/>
        </w:rPr>
        <w:t>/2010</w:t>
      </w:r>
      <w:r w:rsidRPr="008A0308">
        <w:rPr>
          <w:rFonts w:ascii="Tahoma" w:hAnsi="Tahoma" w:cs="Tahoma"/>
          <w:sz w:val="21"/>
          <w:szCs w:val="21"/>
        </w:rPr>
        <w:t>.TC</w:t>
      </w:r>
      <w:r w:rsidRPr="008A0308">
        <w:rPr>
          <w:rFonts w:ascii="Tahoma" w:hAnsi="Tahoma" w:cs="Tahoma"/>
          <w:color w:val="000000"/>
          <w:sz w:val="21"/>
          <w:szCs w:val="21"/>
        </w:rPr>
        <w:t xml:space="preserve"> sobre el procedimiento administrativo sancionador iniciado contra </w:t>
      </w:r>
      <w:r w:rsidR="008A0308" w:rsidRPr="008A0308">
        <w:rPr>
          <w:rFonts w:ascii="Tahoma" w:hAnsi="Tahoma" w:cs="Tahoma"/>
          <w:color w:val="000000"/>
          <w:sz w:val="21"/>
          <w:szCs w:val="21"/>
        </w:rPr>
        <w:t xml:space="preserve">la empresa CONSTRUCTORA ALPEP S.R.L. </w:t>
      </w:r>
      <w:r w:rsidRPr="008A0308">
        <w:rPr>
          <w:rFonts w:ascii="Tahoma" w:hAnsi="Tahoma" w:cs="Tahoma"/>
          <w:color w:val="000000"/>
          <w:sz w:val="21"/>
          <w:szCs w:val="21"/>
        </w:rPr>
        <w:t>por su supuesta responsabilidad en la presentación de documentos</w:t>
      </w:r>
      <w:r w:rsidR="00C24737" w:rsidRPr="008A0308">
        <w:rPr>
          <w:rFonts w:ascii="Tahoma" w:hAnsi="Tahoma" w:cs="Tahoma"/>
          <w:color w:val="000000"/>
          <w:sz w:val="21"/>
          <w:szCs w:val="21"/>
        </w:rPr>
        <w:t xml:space="preserve"> falsos y/o </w:t>
      </w:r>
      <w:r w:rsidRPr="008A0308">
        <w:rPr>
          <w:rFonts w:ascii="Tahoma" w:hAnsi="Tahoma" w:cs="Tahoma"/>
          <w:color w:val="000000"/>
          <w:sz w:val="21"/>
          <w:szCs w:val="21"/>
        </w:rPr>
        <w:t>inexactos durante</w:t>
      </w:r>
      <w:r w:rsidRPr="008A0308">
        <w:rPr>
          <w:rFonts w:ascii="Tahoma" w:hAnsi="Tahoma" w:cs="Tahoma"/>
          <w:sz w:val="21"/>
          <w:szCs w:val="21"/>
        </w:rPr>
        <w:t xml:space="preserve"> </w:t>
      </w:r>
      <w:r w:rsidR="008A0308" w:rsidRPr="008A0308">
        <w:rPr>
          <w:rFonts w:ascii="Tahoma" w:hAnsi="Tahoma" w:cs="Tahoma"/>
          <w:sz w:val="21"/>
          <w:szCs w:val="21"/>
        </w:rPr>
        <w:t>su inscripción en los capítulos de Bienes y Servicios ante el Registro Nacional de Proveedores (RNP) del CONSUCODE (hoy Registro Nacional de Proveedores del OSCE)</w:t>
      </w:r>
      <w:r w:rsidRPr="008A0308">
        <w:rPr>
          <w:rFonts w:ascii="Tahoma" w:hAnsi="Tahoma" w:cs="Tahoma"/>
          <w:color w:val="000000"/>
          <w:sz w:val="21"/>
          <w:szCs w:val="21"/>
        </w:rPr>
        <w:t>; y, atendiendo a los siguientes:</w:t>
      </w:r>
    </w:p>
    <w:p w:rsidR="00F31A7A" w:rsidRPr="008A0308" w:rsidRDefault="00F31A7A" w:rsidP="00F31A7A">
      <w:pPr>
        <w:jc w:val="both"/>
        <w:rPr>
          <w:rFonts w:ascii="Tahoma" w:hAnsi="Tahoma" w:cs="Tahoma"/>
          <w:b/>
          <w:shadow/>
          <w:sz w:val="21"/>
          <w:szCs w:val="21"/>
        </w:rPr>
      </w:pPr>
    </w:p>
    <w:p w:rsidR="00F31A7A" w:rsidRPr="008A0308" w:rsidRDefault="00F31A7A" w:rsidP="00F31A7A">
      <w:pPr>
        <w:jc w:val="both"/>
        <w:rPr>
          <w:rFonts w:ascii="Tahoma" w:hAnsi="Tahoma" w:cs="Tahoma"/>
          <w:b/>
          <w:shadow/>
          <w:sz w:val="21"/>
          <w:szCs w:val="21"/>
        </w:rPr>
      </w:pPr>
      <w:r w:rsidRPr="008A0308">
        <w:rPr>
          <w:rFonts w:ascii="Tahoma" w:hAnsi="Tahoma" w:cs="Tahoma"/>
          <w:b/>
          <w:shadow/>
          <w:sz w:val="21"/>
          <w:szCs w:val="21"/>
        </w:rPr>
        <w:t>ANTECEDENTES:</w:t>
      </w:r>
    </w:p>
    <w:p w:rsidR="00F31A7A" w:rsidRPr="008A0308" w:rsidRDefault="00F31A7A" w:rsidP="00F31A7A">
      <w:pPr>
        <w:jc w:val="both"/>
        <w:rPr>
          <w:rFonts w:ascii="Tahoma" w:hAnsi="Tahoma" w:cs="Tahoma"/>
          <w:sz w:val="21"/>
          <w:szCs w:val="21"/>
        </w:rPr>
      </w:pPr>
    </w:p>
    <w:p w:rsidR="008A0308" w:rsidRPr="008A0308" w:rsidRDefault="008A0308" w:rsidP="008A0308">
      <w:pPr>
        <w:pStyle w:val="Textoindependiente"/>
        <w:numPr>
          <w:ilvl w:val="0"/>
          <w:numId w:val="8"/>
        </w:numPr>
        <w:tabs>
          <w:tab w:val="left" w:pos="-2340"/>
        </w:tabs>
        <w:ind w:left="567" w:hanging="567"/>
        <w:rPr>
          <w:rFonts w:cs="Tahoma"/>
          <w:sz w:val="21"/>
          <w:szCs w:val="21"/>
        </w:rPr>
      </w:pPr>
      <w:r w:rsidRPr="008A0308">
        <w:rPr>
          <w:rFonts w:cs="Tahoma"/>
          <w:sz w:val="21"/>
          <w:szCs w:val="21"/>
        </w:rPr>
        <w:t>El 17 de abril de 2007, la empresa CONSTRUCTORA ALPEP S.R.L., en adelante el Proveedor, solicitó su inscripción en los capítulos de Bienes y Servicios ante el Registro Nacional de Proveedores (RNP) del CONSUCODE (hoy Registro Nacional de Proveedores del OSCE), en adelante la Entidad. Razón por la cual, el 18 de abril de 2007, obtuvo su inscripción automática en dichos capítulos, con registros №s B0052672 y S0197237, respectivamente.</w:t>
      </w:r>
    </w:p>
    <w:p w:rsidR="008A0308" w:rsidRPr="008A0308" w:rsidRDefault="008A0308" w:rsidP="008A0308">
      <w:pPr>
        <w:pStyle w:val="Textoindependiente"/>
        <w:tabs>
          <w:tab w:val="left" w:pos="-2340"/>
        </w:tabs>
        <w:ind w:left="567"/>
        <w:rPr>
          <w:rFonts w:cs="Tahoma"/>
          <w:sz w:val="21"/>
          <w:szCs w:val="21"/>
        </w:rPr>
      </w:pPr>
    </w:p>
    <w:p w:rsidR="008A0308" w:rsidRPr="008A0308" w:rsidRDefault="008A0308" w:rsidP="008A0308">
      <w:pPr>
        <w:pStyle w:val="Textoindependiente"/>
        <w:tabs>
          <w:tab w:val="left" w:pos="-2340"/>
        </w:tabs>
        <w:ind w:left="567"/>
        <w:rPr>
          <w:rFonts w:cs="Tahoma"/>
          <w:i/>
          <w:sz w:val="21"/>
          <w:szCs w:val="21"/>
        </w:rPr>
      </w:pPr>
      <w:r w:rsidRPr="008A0308">
        <w:rPr>
          <w:rFonts w:cs="Tahoma"/>
          <w:sz w:val="21"/>
          <w:szCs w:val="21"/>
        </w:rPr>
        <w:t>Con ocasión de dicho trámite, el Proveedor presentó una Autorización Municipal de Funcionamiento № 000347-2002 de fecha 18 de agosto de 2002, expedida por la Municipalidad Provincial de Santa a favor de Proveedor.</w:t>
      </w:r>
    </w:p>
    <w:p w:rsidR="008A0308" w:rsidRPr="008A0308" w:rsidRDefault="008A0308" w:rsidP="008A0308">
      <w:pPr>
        <w:pStyle w:val="Textoindependiente"/>
        <w:tabs>
          <w:tab w:val="left" w:pos="-2340"/>
        </w:tabs>
        <w:ind w:left="567"/>
        <w:rPr>
          <w:rFonts w:cs="Tahoma"/>
          <w:sz w:val="21"/>
          <w:szCs w:val="21"/>
        </w:rPr>
      </w:pPr>
    </w:p>
    <w:p w:rsidR="008A0308" w:rsidRPr="008A0308" w:rsidRDefault="008A0308" w:rsidP="008A0308">
      <w:pPr>
        <w:pStyle w:val="Textoindependiente"/>
        <w:numPr>
          <w:ilvl w:val="0"/>
          <w:numId w:val="8"/>
        </w:numPr>
        <w:tabs>
          <w:tab w:val="left" w:pos="-2340"/>
        </w:tabs>
        <w:ind w:left="567" w:hanging="567"/>
        <w:rPr>
          <w:rFonts w:cs="Tahoma"/>
          <w:sz w:val="21"/>
          <w:szCs w:val="21"/>
        </w:rPr>
      </w:pPr>
      <w:r w:rsidRPr="008A0308">
        <w:rPr>
          <w:rFonts w:cs="Tahoma"/>
          <w:sz w:val="21"/>
          <w:szCs w:val="21"/>
        </w:rPr>
        <w:t>Mediante Oficio № 1522-2008-CONSUCODE-SRNP/FP (AH) de fecha 30 de abril de 2008, en vía de fiscalización posterior, la Subdirección del Registro Nacional de Proveedores solicitó a la Municipalidad Provincial de Santa – Chimbote que diera su conformidad a la Autorización Municipal de Funcionamiento № 000347-2002 de fecha 18 de agosto de 2002.</w:t>
      </w:r>
    </w:p>
    <w:p w:rsidR="008A0308" w:rsidRPr="008A0308" w:rsidRDefault="008A0308" w:rsidP="008A0308">
      <w:pPr>
        <w:pStyle w:val="Textoindependiente"/>
        <w:tabs>
          <w:tab w:val="left" w:pos="-2340"/>
        </w:tabs>
        <w:ind w:left="567"/>
        <w:rPr>
          <w:rFonts w:cs="Tahoma"/>
          <w:sz w:val="21"/>
          <w:szCs w:val="21"/>
        </w:rPr>
      </w:pPr>
    </w:p>
    <w:p w:rsidR="008A0308" w:rsidRPr="008A0308" w:rsidRDefault="008A0308" w:rsidP="008A0308">
      <w:pPr>
        <w:pStyle w:val="Textoindependiente"/>
        <w:numPr>
          <w:ilvl w:val="0"/>
          <w:numId w:val="8"/>
        </w:numPr>
        <w:tabs>
          <w:tab w:val="left" w:pos="-2340"/>
        </w:tabs>
        <w:ind w:left="567" w:hanging="567"/>
        <w:rPr>
          <w:rFonts w:cs="Tahoma"/>
          <w:sz w:val="21"/>
          <w:szCs w:val="21"/>
        </w:rPr>
      </w:pPr>
      <w:r w:rsidRPr="008A0308">
        <w:rPr>
          <w:rFonts w:cs="Tahoma"/>
          <w:sz w:val="21"/>
          <w:szCs w:val="21"/>
        </w:rPr>
        <w:t>Con Oficio № 017-2009-MPS-GSP de fecha 03 de marzo de 2009, Municipalidad Provincial de Santa comunicó a la Entidad que los datos consignados en la Autorización Municipal de Funcionamiento № 000347-2002, no concordaba con los que figuraban en su Base de Datos, toda vez que la mencionada autorización correspondía al señor Pedro López Padilla.</w:t>
      </w:r>
    </w:p>
    <w:p w:rsidR="008A0308" w:rsidRPr="008A0308" w:rsidRDefault="008A0308" w:rsidP="008A0308">
      <w:pPr>
        <w:pStyle w:val="Prrafodelista"/>
        <w:rPr>
          <w:rFonts w:ascii="Tahoma" w:hAnsi="Tahoma" w:cs="Tahoma"/>
          <w:sz w:val="21"/>
          <w:szCs w:val="21"/>
        </w:rPr>
      </w:pPr>
    </w:p>
    <w:p w:rsidR="008A0308" w:rsidRPr="008A0308" w:rsidRDefault="008A0308" w:rsidP="008A0308">
      <w:pPr>
        <w:pStyle w:val="Textoindependiente"/>
        <w:numPr>
          <w:ilvl w:val="0"/>
          <w:numId w:val="8"/>
        </w:numPr>
        <w:tabs>
          <w:tab w:val="left" w:pos="-2340"/>
        </w:tabs>
        <w:ind w:left="567" w:hanging="567"/>
        <w:rPr>
          <w:rFonts w:cs="Tahoma"/>
          <w:sz w:val="21"/>
          <w:szCs w:val="21"/>
        </w:rPr>
      </w:pPr>
      <w:r w:rsidRPr="008A0308">
        <w:rPr>
          <w:rFonts w:cs="Tahoma"/>
          <w:sz w:val="21"/>
          <w:szCs w:val="21"/>
        </w:rPr>
        <w:t xml:space="preserve">Mediante Resolución № 037-2009-OSCE/DS de fecha 28 de abril de 2009, la Dirección del Sistema Electrónico de las Contrataciones del Estado (SEACE) resolvió: </w:t>
      </w:r>
      <w:r w:rsidRPr="008A0308">
        <w:rPr>
          <w:rFonts w:cs="Tahoma"/>
          <w:b/>
          <w:sz w:val="21"/>
          <w:szCs w:val="21"/>
        </w:rPr>
        <w:lastRenderedPageBreak/>
        <w:t>(i)</w:t>
      </w:r>
      <w:r w:rsidRPr="008A0308">
        <w:rPr>
          <w:rFonts w:cs="Tahoma"/>
          <w:sz w:val="21"/>
          <w:szCs w:val="21"/>
        </w:rPr>
        <w:t xml:space="preserve"> Declarar la nulidad del trámite de Inscripción del Proveedor de Bienes y Servicios en el Registro Nacional de Proveedores, con registros №s B0052672 y S0197237; respectivamente, y de la constancia de inscripción electrónica generada a su favor; </w:t>
      </w:r>
      <w:r w:rsidRPr="008A0308">
        <w:rPr>
          <w:rFonts w:cs="Tahoma"/>
          <w:b/>
          <w:sz w:val="21"/>
          <w:szCs w:val="21"/>
        </w:rPr>
        <w:t>ii)</w:t>
      </w:r>
      <w:r w:rsidRPr="008A0308">
        <w:rPr>
          <w:rFonts w:cs="Tahoma"/>
          <w:sz w:val="21"/>
          <w:szCs w:val="21"/>
        </w:rPr>
        <w:t xml:space="preserve">  Disponer el inicio de las acciones legales correspondientes contra la empresa CONSTRUCTORA ALPEP S.R.L. y contra todos aquellos que resulten responsables, por la presunta comisión de los delitos contra la función jurisdiccional (falsa declaración en procedimiento administrativo) y contra la fe pública en agravio de CONSUCODE (actualmente OSCE) y </w:t>
      </w:r>
      <w:r w:rsidRPr="008A0308">
        <w:rPr>
          <w:rFonts w:cs="Tahoma"/>
          <w:b/>
          <w:sz w:val="21"/>
          <w:szCs w:val="21"/>
        </w:rPr>
        <w:t>(iii)</w:t>
      </w:r>
      <w:r w:rsidRPr="008A0308">
        <w:rPr>
          <w:rFonts w:cs="Tahoma"/>
          <w:sz w:val="21"/>
          <w:szCs w:val="21"/>
        </w:rPr>
        <w:t xml:space="preserve"> Poner la referida resolución en conocimiento del Tribunal de Contrataciones del Estado una vez que se encuentre consentida o firme en sede administrativa, para que dé inicio al procedimiento administrativo sancionador a que hubiere lugar. </w:t>
      </w:r>
    </w:p>
    <w:p w:rsidR="008A0308" w:rsidRPr="008A0308" w:rsidRDefault="008A0308" w:rsidP="008A0308">
      <w:pPr>
        <w:pStyle w:val="Textoindependiente"/>
        <w:tabs>
          <w:tab w:val="left" w:pos="-2340"/>
        </w:tabs>
        <w:ind w:left="567"/>
        <w:rPr>
          <w:rFonts w:cs="Tahoma"/>
          <w:sz w:val="21"/>
          <w:szCs w:val="21"/>
        </w:rPr>
      </w:pPr>
    </w:p>
    <w:p w:rsidR="008A0308" w:rsidRPr="008A0308" w:rsidRDefault="008A0308" w:rsidP="008A0308">
      <w:pPr>
        <w:pStyle w:val="Textoindependiente"/>
        <w:numPr>
          <w:ilvl w:val="0"/>
          <w:numId w:val="8"/>
        </w:numPr>
        <w:tabs>
          <w:tab w:val="left" w:pos="-2340"/>
        </w:tabs>
        <w:ind w:left="567" w:hanging="567"/>
        <w:rPr>
          <w:rFonts w:cs="Tahoma"/>
          <w:sz w:val="21"/>
          <w:szCs w:val="21"/>
        </w:rPr>
      </w:pPr>
      <w:r w:rsidRPr="008A0308">
        <w:rPr>
          <w:rFonts w:cs="Tahoma"/>
          <w:sz w:val="21"/>
          <w:szCs w:val="21"/>
        </w:rPr>
        <w:t>El 14 de noviembre de 2010, mediante Memorando № 1034-2010/DS-MSH, la Entidad denunció ante el Tribunal de Contrataciones del Estado, en adelante el Tribunal, que el Proveedor había presentado documentos falsos y/o inexactos en el trámite de su inscripción como proveedor de Bienes y Servicios seguido ante el Registro Nacional de Proveedores. Para tal efecto, adjuntó el Informe № 2866-2010-SREG/OR de fecha 10 de noviembre de 2010, mediante el cual manifestó los hechos antes expuestos.</w:t>
      </w:r>
    </w:p>
    <w:p w:rsidR="008A0308" w:rsidRPr="008A0308" w:rsidRDefault="008A0308" w:rsidP="008A0308">
      <w:pPr>
        <w:pStyle w:val="Prrafodelista"/>
        <w:rPr>
          <w:rFonts w:ascii="Tahoma" w:hAnsi="Tahoma" w:cs="Tahoma"/>
          <w:sz w:val="21"/>
          <w:szCs w:val="21"/>
        </w:rPr>
      </w:pPr>
    </w:p>
    <w:p w:rsidR="008A0308" w:rsidRPr="008A0308" w:rsidRDefault="008A0308" w:rsidP="008A0308">
      <w:pPr>
        <w:pStyle w:val="Prrafodelista"/>
        <w:numPr>
          <w:ilvl w:val="0"/>
          <w:numId w:val="8"/>
        </w:numPr>
        <w:ind w:left="567" w:hanging="567"/>
        <w:contextualSpacing/>
        <w:jc w:val="both"/>
        <w:rPr>
          <w:rFonts w:ascii="Tahoma" w:hAnsi="Tahoma" w:cs="Tahoma"/>
          <w:sz w:val="21"/>
          <w:szCs w:val="21"/>
        </w:rPr>
      </w:pPr>
      <w:r w:rsidRPr="008A0308">
        <w:rPr>
          <w:rFonts w:ascii="Tahoma" w:hAnsi="Tahoma" w:cs="Tahoma"/>
          <w:sz w:val="21"/>
          <w:szCs w:val="21"/>
        </w:rPr>
        <w:t>Mediante decreto de fecha 17 de noviembre de 2010, notificado el 29 de enero de 2011, el Tribunal inició procedimiento administrativo sancionador contra el Proveedor por su supuesta responsabilidad en la presentación de documentación falsa y/o inexacta ante el CONSUCODE (hoy OSCE), consistente en la Autorización Municipal de Funcionamiento № 000347-2002 de fecha 18 de agosto de 2002, supuestamente emitida por la Municipalidad Provincial de Santa, infracción tipificada en el numeral 10) del artículo 294 del Reglamento de la Ley de Contrataciones y Adquisiciones del Estado, y lo emplazó para que dentro del plazo de diez (10) días formulase sus descargos, bajo apercibimiento de resolver con la documentación obrante en autos.</w:t>
      </w:r>
    </w:p>
    <w:p w:rsidR="008A0308" w:rsidRPr="008A0308" w:rsidRDefault="008A0308" w:rsidP="008A0308">
      <w:pPr>
        <w:pStyle w:val="Prrafodelista"/>
        <w:rPr>
          <w:rFonts w:ascii="Tahoma" w:hAnsi="Tahoma" w:cs="Tahoma"/>
          <w:sz w:val="21"/>
          <w:szCs w:val="21"/>
        </w:rPr>
      </w:pPr>
    </w:p>
    <w:p w:rsidR="008A0308" w:rsidRPr="008A0308" w:rsidRDefault="008A0308" w:rsidP="008A0308">
      <w:pPr>
        <w:pStyle w:val="Textoindependiente"/>
        <w:numPr>
          <w:ilvl w:val="0"/>
          <w:numId w:val="8"/>
        </w:numPr>
        <w:tabs>
          <w:tab w:val="left" w:pos="-2340"/>
        </w:tabs>
        <w:ind w:left="567" w:hanging="567"/>
        <w:rPr>
          <w:rFonts w:cs="Tahoma"/>
          <w:sz w:val="21"/>
          <w:szCs w:val="21"/>
        </w:rPr>
      </w:pPr>
      <w:r w:rsidRPr="008A0308">
        <w:rPr>
          <w:rFonts w:cs="Tahoma"/>
          <w:sz w:val="21"/>
          <w:szCs w:val="21"/>
        </w:rPr>
        <w:t xml:space="preserve">Habiendo transcurrido el plazo otorgado, sin que el Proveedor cumpliera con presentar sus descargos respectivos, con decreto de fecha 18 de febrero de 2011, previa razón de Secretaria del Tribunal, se hizo efectivo el apercibimiento de resolver con la documentación obrante en autos y se se remitió el presente expediente a la Primera Sala del Tribunal, atendiendo a la </w:t>
      </w:r>
      <w:r w:rsidRPr="008A0308">
        <w:rPr>
          <w:rFonts w:eastAsiaTheme="minorHAnsi" w:cs="Tahoma"/>
          <w:color w:val="000000"/>
          <w:sz w:val="21"/>
          <w:szCs w:val="21"/>
          <w:lang w:eastAsia="en-US"/>
        </w:rPr>
        <w:t>Resolución № 103-2011-OSCE/PRE</w:t>
      </w:r>
      <w:r w:rsidRPr="008A0308">
        <w:rPr>
          <w:rFonts w:cs="Tahoma"/>
          <w:sz w:val="21"/>
          <w:szCs w:val="21"/>
        </w:rPr>
        <w:t xml:space="preserve"> de fecha 15 de febrero de 2011.</w:t>
      </w:r>
    </w:p>
    <w:p w:rsidR="00F31A7A" w:rsidRPr="008A0308" w:rsidRDefault="00F31A7A" w:rsidP="00F31A7A">
      <w:pPr>
        <w:jc w:val="both"/>
        <w:rPr>
          <w:rFonts w:ascii="Tahoma" w:hAnsi="Tahoma" w:cs="Tahoma"/>
          <w:sz w:val="21"/>
          <w:szCs w:val="21"/>
          <w:lang w:val="es-PE"/>
        </w:rPr>
      </w:pPr>
    </w:p>
    <w:p w:rsidR="00F31A7A" w:rsidRPr="008A0308" w:rsidRDefault="00F31A7A" w:rsidP="00F31A7A">
      <w:pPr>
        <w:pStyle w:val="Textoindependiente"/>
        <w:tabs>
          <w:tab w:val="left" w:pos="-2340"/>
          <w:tab w:val="left" w:pos="567"/>
        </w:tabs>
        <w:ind w:left="567" w:hanging="567"/>
        <w:rPr>
          <w:rFonts w:cs="Tahoma"/>
          <w:b/>
          <w:shadow/>
          <w:sz w:val="21"/>
          <w:szCs w:val="21"/>
        </w:rPr>
      </w:pPr>
      <w:r w:rsidRPr="008A0308">
        <w:rPr>
          <w:rFonts w:cs="Tahoma"/>
          <w:b/>
          <w:shadow/>
          <w:sz w:val="21"/>
          <w:szCs w:val="21"/>
        </w:rPr>
        <w:t>FUNDAMENTACIÓN:</w:t>
      </w:r>
      <w:r w:rsidRPr="008A0308">
        <w:rPr>
          <w:rFonts w:cs="Tahoma"/>
          <w:b/>
          <w:shadow/>
          <w:sz w:val="21"/>
          <w:szCs w:val="21"/>
        </w:rPr>
        <w:tab/>
      </w:r>
    </w:p>
    <w:p w:rsidR="00F31A7A" w:rsidRPr="008A0308" w:rsidRDefault="00F31A7A" w:rsidP="00F31A7A">
      <w:pPr>
        <w:rPr>
          <w:rFonts w:ascii="Tahoma" w:hAnsi="Tahoma" w:cs="Tahoma"/>
          <w:sz w:val="21"/>
          <w:szCs w:val="21"/>
        </w:rPr>
      </w:pPr>
      <w:r w:rsidRPr="008A0308">
        <w:rPr>
          <w:rFonts w:ascii="Tahoma" w:hAnsi="Tahoma" w:cs="Tahoma"/>
          <w:sz w:val="21"/>
          <w:szCs w:val="21"/>
        </w:rPr>
        <w:t xml:space="preserve"> </w:t>
      </w:r>
    </w:p>
    <w:p w:rsidR="008A0308" w:rsidRPr="008A0308" w:rsidRDefault="008A0308" w:rsidP="008A0308">
      <w:pPr>
        <w:pStyle w:val="Prrafodelista"/>
        <w:numPr>
          <w:ilvl w:val="0"/>
          <w:numId w:val="19"/>
        </w:numPr>
        <w:tabs>
          <w:tab w:val="clear" w:pos="360"/>
          <w:tab w:val="num" w:pos="567"/>
        </w:tabs>
        <w:ind w:left="567" w:hanging="567"/>
        <w:contextualSpacing/>
        <w:jc w:val="both"/>
        <w:rPr>
          <w:rFonts w:ascii="Tahoma" w:hAnsi="Tahoma" w:cs="Tahoma"/>
          <w:sz w:val="21"/>
          <w:szCs w:val="21"/>
        </w:rPr>
      </w:pPr>
      <w:r w:rsidRPr="008A0308">
        <w:rPr>
          <w:rFonts w:ascii="Tahoma" w:hAnsi="Tahoma" w:cs="Tahoma"/>
          <w:sz w:val="21"/>
          <w:szCs w:val="21"/>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8A0308" w:rsidRPr="008A0308" w:rsidRDefault="008A0308" w:rsidP="008A0308">
      <w:pPr>
        <w:pStyle w:val="Prrafodelista"/>
        <w:tabs>
          <w:tab w:val="num" w:pos="567"/>
        </w:tabs>
        <w:ind w:left="567" w:hanging="567"/>
        <w:jc w:val="both"/>
        <w:rPr>
          <w:rFonts w:ascii="Tahoma" w:hAnsi="Tahoma" w:cs="Tahoma"/>
          <w:sz w:val="21"/>
          <w:szCs w:val="21"/>
        </w:rPr>
      </w:pPr>
    </w:p>
    <w:p w:rsidR="008A0308" w:rsidRPr="008A0308" w:rsidRDefault="008A0308" w:rsidP="008A0308">
      <w:pPr>
        <w:pStyle w:val="Prrafodelista"/>
        <w:numPr>
          <w:ilvl w:val="0"/>
          <w:numId w:val="19"/>
        </w:numPr>
        <w:tabs>
          <w:tab w:val="clear" w:pos="360"/>
          <w:tab w:val="num" w:pos="567"/>
        </w:tabs>
        <w:ind w:left="567" w:hanging="567"/>
        <w:contextualSpacing/>
        <w:jc w:val="both"/>
        <w:rPr>
          <w:rFonts w:ascii="Tahoma" w:hAnsi="Tahoma" w:cs="Tahoma"/>
          <w:sz w:val="21"/>
          <w:szCs w:val="21"/>
        </w:rPr>
      </w:pPr>
      <w:r w:rsidRPr="008A0308">
        <w:rPr>
          <w:rFonts w:ascii="Tahoma" w:hAnsi="Tahoma" w:cs="Tahoma"/>
          <w:sz w:val="21"/>
          <w:szCs w:val="21"/>
        </w:rPr>
        <w:lastRenderedPageBreak/>
        <w:t>En ese sentido, el Tribunal es el órgano que tiene a su cargo el conocimiento y resolución de los procedimientos de imposición de sanción de inhabilitación temporal o definitiva para contratar con el Estado, en los casos expresamente tipificados en el artículo 52 de Ley de Contrataciones y Adquisiciones de Estado, aprobado mediante Decreto Supremo № 083-2004-PCM, y el artículo 294 del Reglamento de la Ley de Contrataciones y Adquisiciones del Estado, aprobado mediante Decreto Supremo № 084-2004-PCM, en lo sucesivo la Ley y el Reglamento; sin perjuicio de las acciones legales que corresponda adoptar a las entidades dentro de sus respectivas atribuciones.</w:t>
      </w:r>
    </w:p>
    <w:p w:rsidR="008A0308" w:rsidRPr="008A0308" w:rsidRDefault="008A0308" w:rsidP="008A0308">
      <w:pPr>
        <w:ind w:left="567"/>
        <w:jc w:val="both"/>
        <w:rPr>
          <w:rFonts w:ascii="Tahoma" w:hAnsi="Tahoma" w:cs="Tahoma"/>
          <w:sz w:val="21"/>
          <w:szCs w:val="21"/>
        </w:rPr>
      </w:pPr>
    </w:p>
    <w:p w:rsidR="008A0308" w:rsidRPr="008A0308" w:rsidRDefault="008A0308" w:rsidP="008A0308">
      <w:pPr>
        <w:numPr>
          <w:ilvl w:val="0"/>
          <w:numId w:val="19"/>
        </w:numPr>
        <w:tabs>
          <w:tab w:val="clear" w:pos="360"/>
          <w:tab w:val="num" w:pos="0"/>
        </w:tabs>
        <w:ind w:left="567" w:hanging="567"/>
        <w:jc w:val="both"/>
        <w:rPr>
          <w:rFonts w:ascii="Tahoma" w:hAnsi="Tahoma" w:cs="Tahoma"/>
          <w:sz w:val="21"/>
          <w:szCs w:val="21"/>
        </w:rPr>
      </w:pPr>
      <w:r w:rsidRPr="008A0308">
        <w:rPr>
          <w:rFonts w:ascii="Tahoma" w:hAnsi="Tahoma" w:cs="Tahoma"/>
          <w:sz w:val="21"/>
          <w:szCs w:val="21"/>
        </w:rPr>
        <w:t>El presente procedimiento administrativo sancionador ha sido iniciado a causa de la imputación formulada contra la empresa CONSTRUCTORA ALPEP S.R.L. referida a la presentación de documentación falsa y/o inexacta durante el trámite de su inscripción como proveedor de Bienes y Servicios ante el Registro Nacional de Proveedores del CONSUCODE (hoy Subdirección del Registro del OSCE), infracción tipificada en el numeral 10) del artículo 294 del Reglamento</w:t>
      </w:r>
      <w:bookmarkStart w:id="0" w:name="_ftnref1"/>
      <w:r w:rsidR="00ED3B69" w:rsidRPr="008A0308">
        <w:rPr>
          <w:rFonts w:ascii="Tahoma" w:hAnsi="Tahoma" w:cs="Tahoma"/>
          <w:sz w:val="21"/>
          <w:szCs w:val="21"/>
        </w:rPr>
        <w:fldChar w:fldCharType="begin"/>
      </w:r>
      <w:r w:rsidRPr="008A0308">
        <w:rPr>
          <w:rFonts w:ascii="Tahoma" w:hAnsi="Tahoma" w:cs="Tahoma"/>
          <w:sz w:val="21"/>
          <w:szCs w:val="21"/>
        </w:rPr>
        <w:instrText xml:space="preserve"> HYPERLINK "http://www.consucode.gob.pe/tribunal/ResTrib2007/RES965-2007-TC-S3.htm" \l "_ftn1#_ftn1" \o "" </w:instrText>
      </w:r>
      <w:r w:rsidR="00ED3B69" w:rsidRPr="008A0308">
        <w:rPr>
          <w:rFonts w:ascii="Tahoma" w:hAnsi="Tahoma" w:cs="Tahoma"/>
          <w:sz w:val="21"/>
          <w:szCs w:val="21"/>
        </w:rPr>
        <w:fldChar w:fldCharType="end"/>
      </w:r>
      <w:bookmarkEnd w:id="0"/>
      <w:r w:rsidRPr="008A0308">
        <w:rPr>
          <w:rFonts w:ascii="Tahoma" w:hAnsi="Tahoma" w:cs="Tahoma"/>
          <w:sz w:val="21"/>
          <w:szCs w:val="21"/>
        </w:rPr>
        <w:t xml:space="preserve"> de la Ley de Contrataciones y Adquisiciones del Estado aprobado por Decreto Supremo № 084-2004-PCM, en lo sucesivo el Reglamento</w:t>
      </w:r>
      <w:r w:rsidRPr="008A0308">
        <w:rPr>
          <w:rStyle w:val="Refdenotaalpie"/>
          <w:rFonts w:ascii="Tahoma" w:eastAsia="Batang" w:hAnsi="Tahoma" w:cs="Tahoma"/>
          <w:sz w:val="21"/>
          <w:szCs w:val="21"/>
        </w:rPr>
        <w:footnoteReference w:id="2"/>
      </w:r>
      <w:r w:rsidRPr="008A0308">
        <w:rPr>
          <w:rFonts w:ascii="Tahoma" w:hAnsi="Tahoma" w:cs="Tahoma"/>
          <w:sz w:val="21"/>
          <w:szCs w:val="21"/>
        </w:rPr>
        <w:t>, norma vigente al suscitarse los hechos.</w:t>
      </w:r>
    </w:p>
    <w:p w:rsidR="008A0308" w:rsidRPr="008A0308" w:rsidRDefault="008A0308" w:rsidP="008A0308">
      <w:pPr>
        <w:ind w:left="567"/>
        <w:jc w:val="both"/>
        <w:rPr>
          <w:rFonts w:ascii="Tahoma" w:hAnsi="Tahoma" w:cs="Tahoma"/>
          <w:sz w:val="21"/>
          <w:szCs w:val="21"/>
        </w:rPr>
      </w:pPr>
    </w:p>
    <w:p w:rsidR="008A0308" w:rsidRPr="008A0308" w:rsidRDefault="008A0308" w:rsidP="008A0308">
      <w:pPr>
        <w:numPr>
          <w:ilvl w:val="0"/>
          <w:numId w:val="19"/>
        </w:numPr>
        <w:tabs>
          <w:tab w:val="clear" w:pos="360"/>
          <w:tab w:val="num" w:pos="0"/>
        </w:tabs>
        <w:ind w:left="567" w:hanging="567"/>
        <w:jc w:val="both"/>
        <w:rPr>
          <w:rFonts w:ascii="Tahoma" w:hAnsi="Tahoma" w:cs="Tahoma"/>
          <w:sz w:val="21"/>
          <w:szCs w:val="21"/>
        </w:rPr>
      </w:pPr>
      <w:r w:rsidRPr="008A0308">
        <w:rPr>
          <w:rFonts w:ascii="Tahoma" w:hAnsi="Tahoma" w:cs="Tahoma"/>
          <w:sz w:val="21"/>
          <w:szCs w:val="21"/>
        </w:rPr>
        <w:t xml:space="preserve">Al respecto, la causal antes señalada establece que los postores, proveedores y/o contratistas incurren en infracción susceptible de sanción cuando presenten documentos falsos o declaraciones juradas con información inexacta en los procedimientos seguidos ante el Registro Nacional de Proveedores. Dicha infracción se configura con la sola presentación del documento falso o inexacto, sin que la norma exija otros factores adicionales. </w:t>
      </w:r>
    </w:p>
    <w:p w:rsidR="008A0308" w:rsidRPr="008A0308" w:rsidRDefault="008A0308" w:rsidP="008A0308">
      <w:pPr>
        <w:tabs>
          <w:tab w:val="num" w:pos="0"/>
        </w:tabs>
        <w:jc w:val="both"/>
        <w:rPr>
          <w:rFonts w:ascii="Tahoma" w:hAnsi="Tahoma" w:cs="Tahoma"/>
          <w:sz w:val="21"/>
          <w:szCs w:val="21"/>
        </w:rPr>
      </w:pPr>
      <w:r w:rsidRPr="008A0308">
        <w:rPr>
          <w:rFonts w:ascii="Tahoma" w:hAnsi="Tahoma" w:cs="Tahoma"/>
          <w:sz w:val="21"/>
          <w:szCs w:val="21"/>
          <w:lang w:val="es-MX"/>
        </w:rPr>
        <w:t> </w:t>
      </w:r>
    </w:p>
    <w:p w:rsidR="008A0308" w:rsidRPr="008A0308" w:rsidRDefault="008A0308" w:rsidP="008A0308">
      <w:pPr>
        <w:pStyle w:val="Prrafodelista"/>
        <w:numPr>
          <w:ilvl w:val="0"/>
          <w:numId w:val="19"/>
        </w:numPr>
        <w:tabs>
          <w:tab w:val="clear" w:pos="360"/>
          <w:tab w:val="num" w:pos="0"/>
          <w:tab w:val="num" w:pos="142"/>
        </w:tabs>
        <w:ind w:left="567" w:hanging="567"/>
        <w:contextualSpacing/>
        <w:jc w:val="both"/>
        <w:rPr>
          <w:rFonts w:ascii="Tahoma" w:hAnsi="Tahoma" w:cs="Tahoma"/>
          <w:sz w:val="21"/>
          <w:szCs w:val="21"/>
        </w:rPr>
      </w:pPr>
      <w:r w:rsidRPr="008A0308">
        <w:rPr>
          <w:rFonts w:ascii="Tahoma" w:hAnsi="Tahoma" w:cs="Tahoma"/>
          <w:sz w:val="21"/>
          <w:szCs w:val="21"/>
        </w:rPr>
        <w:t xml:space="preserve">En ese sentido, </w:t>
      </w:r>
      <w:r w:rsidRPr="008A0308">
        <w:rPr>
          <w:rFonts w:ascii="Tahoma" w:hAnsi="Tahoma" w:cs="Tahoma"/>
          <w:sz w:val="21"/>
          <w:szCs w:val="21"/>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8A0308">
        <w:rPr>
          <w:rFonts w:ascii="Tahoma" w:hAnsi="Tahoma" w:cs="Tahoma"/>
          <w:b/>
          <w:sz w:val="21"/>
          <w:szCs w:val="21"/>
          <w:lang w:val="es-MX"/>
        </w:rPr>
        <w:t>se presumen verificados por quien hace uso de ellos, así como de contenido veraz para fines del procedimiento administrativo</w:t>
      </w:r>
      <w:r w:rsidRPr="008A0308">
        <w:rPr>
          <w:rFonts w:ascii="Tahoma" w:hAnsi="Tahoma" w:cs="Tahoma"/>
          <w:sz w:val="21"/>
          <w:szCs w:val="21"/>
          <w:lang w:val="es-MX"/>
        </w:rPr>
        <w:t xml:space="preserve">. Sin embargo, esta presunción es de índole </w:t>
      </w:r>
      <w:r w:rsidRPr="008A0308">
        <w:rPr>
          <w:rFonts w:ascii="Tahoma" w:hAnsi="Tahoma" w:cs="Tahoma"/>
          <w:i/>
          <w:sz w:val="21"/>
          <w:szCs w:val="21"/>
          <w:lang w:val="es-MX"/>
        </w:rPr>
        <w:t>juris tantum</w:t>
      </w:r>
      <w:r w:rsidRPr="008A0308">
        <w:rPr>
          <w:rFonts w:ascii="Tahoma" w:hAnsi="Tahoma" w:cs="Tahoma"/>
          <w:sz w:val="21"/>
          <w:szCs w:val="21"/>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8A0308" w:rsidRPr="008A0308" w:rsidRDefault="008A0308" w:rsidP="008A0308">
      <w:pPr>
        <w:tabs>
          <w:tab w:val="num" w:pos="0"/>
          <w:tab w:val="num" w:pos="540"/>
        </w:tabs>
        <w:ind w:left="567" w:hanging="567"/>
        <w:jc w:val="both"/>
        <w:rPr>
          <w:rFonts w:ascii="Tahoma" w:hAnsi="Tahoma" w:cs="Tahoma"/>
          <w:sz w:val="21"/>
          <w:szCs w:val="21"/>
        </w:rPr>
      </w:pPr>
    </w:p>
    <w:p w:rsidR="008A0308" w:rsidRPr="008A0308" w:rsidRDefault="008A0308" w:rsidP="008A0308">
      <w:pPr>
        <w:pStyle w:val="Sangradetextonormal"/>
        <w:numPr>
          <w:ilvl w:val="0"/>
          <w:numId w:val="19"/>
        </w:numPr>
        <w:tabs>
          <w:tab w:val="clear" w:pos="360"/>
          <w:tab w:val="left" w:pos="0"/>
        </w:tabs>
        <w:spacing w:after="0"/>
        <w:ind w:left="567" w:hanging="567"/>
        <w:jc w:val="both"/>
        <w:rPr>
          <w:rFonts w:ascii="Tahoma" w:hAnsi="Tahoma" w:cs="Tahoma"/>
          <w:sz w:val="21"/>
          <w:szCs w:val="21"/>
        </w:rPr>
      </w:pPr>
      <w:r w:rsidRPr="008A0308">
        <w:rPr>
          <w:rFonts w:ascii="Tahoma" w:hAnsi="Tahoma" w:cs="Tahoma"/>
          <w:sz w:val="21"/>
          <w:szCs w:val="21"/>
        </w:rPr>
        <w:t xml:space="preserve">Ahora bien, para la configuración del supuesto de presentación de documentación falsa, se requiere previamente acreditar su falsedad, esto es que el documento o los </w:t>
      </w:r>
      <w:r w:rsidRPr="008A0308">
        <w:rPr>
          <w:rFonts w:ascii="Tahoma" w:hAnsi="Tahoma" w:cs="Tahoma"/>
          <w:sz w:val="21"/>
          <w:szCs w:val="21"/>
        </w:rPr>
        <w:lastRenderedPageBreak/>
        <w:t>documentos cuestionados no hayan sido expedidos por el órgano emisor o que, siendo válidamente expedidos, hayan sido adulterados en su contenido.</w:t>
      </w:r>
    </w:p>
    <w:p w:rsidR="008A0308" w:rsidRPr="008A0308" w:rsidRDefault="008A0308" w:rsidP="008A0308">
      <w:pPr>
        <w:pStyle w:val="Prrafodelista"/>
        <w:rPr>
          <w:rFonts w:ascii="Tahoma" w:hAnsi="Tahoma" w:cs="Tahoma"/>
          <w:sz w:val="21"/>
          <w:szCs w:val="21"/>
        </w:rPr>
      </w:pPr>
    </w:p>
    <w:p w:rsidR="008A0308" w:rsidRPr="008A0308" w:rsidRDefault="008A0308" w:rsidP="008A0308">
      <w:pPr>
        <w:pStyle w:val="Sangradetextonormal"/>
        <w:tabs>
          <w:tab w:val="left" w:pos="0"/>
        </w:tabs>
        <w:spacing w:after="0"/>
        <w:ind w:left="567"/>
        <w:jc w:val="both"/>
        <w:rPr>
          <w:rFonts w:ascii="Tahoma" w:hAnsi="Tahoma" w:cs="Tahoma"/>
          <w:sz w:val="21"/>
          <w:szCs w:val="21"/>
        </w:rPr>
      </w:pPr>
      <w:r w:rsidRPr="008A0308">
        <w:rPr>
          <w:rFonts w:ascii="Tahoma" w:hAnsi="Tahoma" w:cs="Tahoma"/>
          <w:sz w:val="21"/>
          <w:szCs w:val="21"/>
        </w:rPr>
        <w:t xml:space="preserve">Por otro lado, la información inexacta se configura con la presentación de declaraciones no concordantes con la realidad, a través del quebrantamiento de los </w:t>
      </w:r>
      <w:r w:rsidRPr="008A0308">
        <w:rPr>
          <w:rFonts w:ascii="Tahoma" w:hAnsi="Tahoma" w:cs="Tahoma"/>
          <w:i/>
          <w:sz w:val="21"/>
          <w:szCs w:val="21"/>
        </w:rPr>
        <w:t>Principios de Presunción de Veracidad</w:t>
      </w:r>
      <w:r w:rsidRPr="008A0308">
        <w:rPr>
          <w:rFonts w:ascii="Tahoma" w:hAnsi="Tahoma" w:cs="Tahoma"/>
          <w:sz w:val="21"/>
          <w:szCs w:val="21"/>
        </w:rPr>
        <w:t xml:space="preserve"> y </w:t>
      </w:r>
      <w:r w:rsidRPr="008A0308">
        <w:rPr>
          <w:rFonts w:ascii="Tahoma" w:hAnsi="Tahoma" w:cs="Tahoma"/>
          <w:i/>
          <w:sz w:val="21"/>
          <w:szCs w:val="21"/>
        </w:rPr>
        <w:t xml:space="preserve">Moralidad </w:t>
      </w:r>
      <w:r w:rsidRPr="008A0308">
        <w:rPr>
          <w:rFonts w:ascii="Tahoma" w:hAnsi="Tahoma" w:cs="Tahoma"/>
          <w:sz w:val="21"/>
          <w:szCs w:val="21"/>
        </w:rPr>
        <w:t>que amparan a las referidas declaraciones.</w:t>
      </w:r>
    </w:p>
    <w:p w:rsidR="008A0308" w:rsidRPr="008A0308" w:rsidRDefault="008A0308" w:rsidP="008A0308">
      <w:pPr>
        <w:pStyle w:val="Prrafodelista"/>
        <w:jc w:val="both"/>
        <w:rPr>
          <w:rFonts w:ascii="Tahoma" w:hAnsi="Tahoma" w:cs="Tahoma"/>
          <w:sz w:val="21"/>
          <w:szCs w:val="21"/>
          <w:lang w:val="es-ES_tradnl"/>
        </w:rPr>
      </w:pPr>
    </w:p>
    <w:p w:rsidR="008A0308" w:rsidRPr="008A0308" w:rsidRDefault="008A0308" w:rsidP="008A0308">
      <w:pPr>
        <w:numPr>
          <w:ilvl w:val="0"/>
          <w:numId w:val="19"/>
        </w:numPr>
        <w:tabs>
          <w:tab w:val="clear" w:pos="360"/>
          <w:tab w:val="num" w:pos="0"/>
        </w:tabs>
        <w:ind w:left="567" w:hanging="567"/>
        <w:jc w:val="both"/>
        <w:rPr>
          <w:rFonts w:ascii="Tahoma" w:hAnsi="Tahoma" w:cs="Tahoma"/>
          <w:sz w:val="21"/>
          <w:szCs w:val="21"/>
        </w:rPr>
      </w:pPr>
      <w:r w:rsidRPr="008A0308">
        <w:rPr>
          <w:rFonts w:ascii="Tahoma" w:hAnsi="Tahoma" w:cs="Tahoma"/>
          <w:sz w:val="21"/>
          <w:szCs w:val="21"/>
        </w:rPr>
        <w:t>En el caso materia de análisis, la imputación contra el Proveedor está referida a que éste habría presentado, ante la Entidad, un documento falso y/o inexacto, consistente Autorización Municipal de Funcionamiento № 000347-2002 de fecha 18 de agosto de 2002, supuestamente emitida por la Municipalidad Provincial de Santa, a favor de la empresa CONSTRUCTORA ALPEP S.R.L.</w:t>
      </w:r>
    </w:p>
    <w:p w:rsidR="008A0308" w:rsidRPr="008A0308" w:rsidRDefault="008A0308" w:rsidP="008A0308">
      <w:pPr>
        <w:ind w:left="567"/>
        <w:jc w:val="both"/>
        <w:rPr>
          <w:rFonts w:ascii="Tahoma" w:hAnsi="Tahoma" w:cs="Tahoma"/>
          <w:sz w:val="21"/>
          <w:szCs w:val="21"/>
        </w:rPr>
      </w:pPr>
    </w:p>
    <w:p w:rsidR="008A0308" w:rsidRPr="008A0308" w:rsidRDefault="008A0308" w:rsidP="008A0308">
      <w:pPr>
        <w:pStyle w:val="Prrafodelista"/>
        <w:numPr>
          <w:ilvl w:val="0"/>
          <w:numId w:val="19"/>
        </w:numPr>
        <w:tabs>
          <w:tab w:val="clear" w:pos="360"/>
          <w:tab w:val="num" w:pos="567"/>
        </w:tabs>
        <w:ind w:left="567" w:hanging="567"/>
        <w:contextualSpacing/>
        <w:jc w:val="both"/>
        <w:rPr>
          <w:rFonts w:ascii="Tahoma" w:hAnsi="Tahoma" w:cs="Tahoma"/>
          <w:sz w:val="21"/>
          <w:szCs w:val="21"/>
        </w:rPr>
      </w:pPr>
      <w:r w:rsidRPr="008A0308">
        <w:rPr>
          <w:rFonts w:ascii="Tahoma" w:hAnsi="Tahoma" w:cs="Tahoma"/>
          <w:sz w:val="21"/>
          <w:szCs w:val="21"/>
        </w:rPr>
        <w:t>Conforme a lo expuesto, corresponde al Tribunal pronunciarse respecto de la validez de los documentos cuestionados, a fin de verificar si resulta procedente imponer al Proveedor la sanción administrativa que el Reglamento ha previsto para estos casos.</w:t>
      </w:r>
    </w:p>
    <w:p w:rsidR="008A0308" w:rsidRPr="008A0308" w:rsidRDefault="008A0308" w:rsidP="008A0308">
      <w:pPr>
        <w:jc w:val="both"/>
        <w:rPr>
          <w:rFonts w:ascii="Tahoma" w:hAnsi="Tahoma" w:cs="Tahoma"/>
          <w:sz w:val="21"/>
          <w:szCs w:val="21"/>
        </w:rPr>
      </w:pPr>
    </w:p>
    <w:p w:rsidR="008A0308" w:rsidRPr="008A0308" w:rsidRDefault="008A0308" w:rsidP="008A0308">
      <w:pPr>
        <w:numPr>
          <w:ilvl w:val="0"/>
          <w:numId w:val="19"/>
        </w:numPr>
        <w:tabs>
          <w:tab w:val="clear" w:pos="360"/>
          <w:tab w:val="num" w:pos="0"/>
        </w:tabs>
        <w:ind w:left="567" w:hanging="567"/>
        <w:jc w:val="both"/>
        <w:rPr>
          <w:rFonts w:ascii="Tahoma" w:hAnsi="Tahoma" w:cs="Tahoma"/>
          <w:sz w:val="21"/>
          <w:szCs w:val="21"/>
        </w:rPr>
      </w:pPr>
      <w:r w:rsidRPr="008A0308">
        <w:rPr>
          <w:rFonts w:ascii="Tahoma" w:hAnsi="Tahoma" w:cs="Tahoma"/>
          <w:sz w:val="21"/>
          <w:szCs w:val="21"/>
        </w:rPr>
        <w:t>Al respecto, y en base a la documentación obrante en autos, se ha verificado que el Proveedor presentó, ante la Entidad, Autorización Municipal de Funcionamiento № 000347-2002 de fecha 18 de agosto de 2002, supuestamente emitida por la Municipalidad Provincial de Santa, documento obrante a folio № 006 del presente expediente administrativo.</w:t>
      </w:r>
    </w:p>
    <w:p w:rsidR="008A0308" w:rsidRPr="008A0308" w:rsidRDefault="008A0308" w:rsidP="008A0308">
      <w:pPr>
        <w:pStyle w:val="Prrafodelista"/>
        <w:rPr>
          <w:rFonts w:ascii="Tahoma" w:hAnsi="Tahoma" w:cs="Tahoma"/>
          <w:sz w:val="21"/>
          <w:szCs w:val="21"/>
        </w:rPr>
      </w:pPr>
    </w:p>
    <w:p w:rsidR="008A0308" w:rsidRPr="008A0308" w:rsidRDefault="008A0308" w:rsidP="008A0308">
      <w:pPr>
        <w:numPr>
          <w:ilvl w:val="0"/>
          <w:numId w:val="19"/>
        </w:numPr>
        <w:tabs>
          <w:tab w:val="clear" w:pos="360"/>
          <w:tab w:val="num" w:pos="0"/>
        </w:tabs>
        <w:ind w:left="567" w:hanging="567"/>
        <w:jc w:val="both"/>
        <w:rPr>
          <w:rFonts w:ascii="Tahoma" w:hAnsi="Tahoma" w:cs="Tahoma"/>
          <w:sz w:val="21"/>
          <w:szCs w:val="21"/>
        </w:rPr>
      </w:pPr>
      <w:r w:rsidRPr="008A0308">
        <w:rPr>
          <w:rFonts w:ascii="Tahoma" w:hAnsi="Tahoma" w:cs="Tahoma"/>
          <w:sz w:val="21"/>
          <w:szCs w:val="21"/>
        </w:rPr>
        <w:t xml:space="preserve">Ahora bien, y en aplicación del </w:t>
      </w:r>
      <w:r w:rsidRPr="008A0308">
        <w:rPr>
          <w:rFonts w:ascii="Tahoma" w:hAnsi="Tahoma" w:cs="Tahoma"/>
          <w:i/>
          <w:sz w:val="21"/>
          <w:szCs w:val="21"/>
        </w:rPr>
        <w:t xml:space="preserve">Principio de Privilegio de Controles Posteriores, </w:t>
      </w:r>
      <w:r w:rsidRPr="008A0308">
        <w:rPr>
          <w:rFonts w:ascii="Tahoma" w:hAnsi="Tahoma" w:cs="Tahoma"/>
          <w:sz w:val="21"/>
          <w:szCs w:val="21"/>
        </w:rPr>
        <w:t>contemplado en el numeral 1.16 del Artículo IV del Título Preliminar de la Ley № 27444, mediante Oficio № 1522-2008-CONSUCODE-SRNP/FP (AH) de fecha 30 de abril de 2008, la Entidad solicitó información a la Municipalidad Provincial de Santa – Chimbote respecto a la veracidad de la Autorización Municipal de Funcionamiento № 000347-2002 de fecha 18 de agosto de 2002.</w:t>
      </w:r>
    </w:p>
    <w:p w:rsidR="008A0308" w:rsidRPr="008A0308" w:rsidRDefault="008A0308" w:rsidP="008A0308">
      <w:pPr>
        <w:pStyle w:val="Prrafodelista"/>
        <w:rPr>
          <w:rFonts w:ascii="Tahoma" w:hAnsi="Tahoma" w:cs="Tahoma"/>
          <w:sz w:val="21"/>
          <w:szCs w:val="21"/>
        </w:rPr>
      </w:pPr>
    </w:p>
    <w:p w:rsidR="008A0308" w:rsidRPr="008A0308" w:rsidRDefault="008A0308" w:rsidP="008A0308">
      <w:pPr>
        <w:ind w:left="567"/>
        <w:jc w:val="both"/>
        <w:rPr>
          <w:rFonts w:ascii="Tahoma" w:hAnsi="Tahoma" w:cs="Tahoma"/>
          <w:sz w:val="21"/>
          <w:szCs w:val="21"/>
        </w:rPr>
      </w:pPr>
      <w:r w:rsidRPr="008A0308">
        <w:rPr>
          <w:rFonts w:ascii="Tahoma" w:hAnsi="Tahoma" w:cs="Tahoma"/>
          <w:sz w:val="21"/>
          <w:szCs w:val="21"/>
        </w:rPr>
        <w:t xml:space="preserve">En atención a ello, mediante Oficio № 017-2009-MPS-GSP de fecha 03 de marzo de 2009, Municipalidad Provincial de Santa señaló lo siguiente: </w:t>
      </w:r>
      <w:r w:rsidRPr="008A0308">
        <w:rPr>
          <w:rFonts w:ascii="Tahoma" w:hAnsi="Tahoma" w:cs="Tahoma"/>
          <w:i/>
          <w:sz w:val="21"/>
          <w:szCs w:val="21"/>
        </w:rPr>
        <w:t xml:space="preserve">«Se ha constatado en la Base de Datos y Archivos, que la copia de </w:t>
      </w:r>
      <w:r w:rsidRPr="008A0308">
        <w:rPr>
          <w:rFonts w:ascii="Tahoma" w:hAnsi="Tahoma" w:cs="Tahoma"/>
          <w:b/>
          <w:i/>
          <w:sz w:val="21"/>
          <w:szCs w:val="21"/>
        </w:rPr>
        <w:t>la Autorización de Municipal de Funcionamiento № 347 a nombre de CONSTRUCTORA ALPEP S.R.L. es falsa</w:t>
      </w:r>
      <w:r w:rsidRPr="008A0308">
        <w:rPr>
          <w:rFonts w:ascii="Tahoma" w:hAnsi="Tahoma" w:cs="Tahoma"/>
          <w:i/>
          <w:sz w:val="21"/>
          <w:szCs w:val="21"/>
        </w:rPr>
        <w:t xml:space="preserve">, correspondo al Señor Pedro López Padilla para el giro de Bodega; por lo tanto, </w:t>
      </w:r>
      <w:r w:rsidRPr="008A0308">
        <w:rPr>
          <w:rFonts w:ascii="Tahoma" w:hAnsi="Tahoma" w:cs="Tahoma"/>
          <w:b/>
          <w:i/>
          <w:sz w:val="21"/>
          <w:szCs w:val="21"/>
        </w:rPr>
        <w:t>no es conforme</w:t>
      </w:r>
      <w:r w:rsidRPr="008A0308">
        <w:rPr>
          <w:rFonts w:ascii="Tahoma" w:hAnsi="Tahoma" w:cs="Tahoma"/>
          <w:i/>
          <w:sz w:val="21"/>
          <w:szCs w:val="21"/>
        </w:rPr>
        <w:t>, para mayor ilustración anexo copia de nuestros archivos del Sistema».</w:t>
      </w:r>
      <w:r w:rsidRPr="008A0308">
        <w:rPr>
          <w:rFonts w:ascii="Tahoma" w:hAnsi="Tahoma" w:cs="Tahoma"/>
          <w:sz w:val="21"/>
          <w:szCs w:val="21"/>
        </w:rPr>
        <w:t xml:space="preserve"> (sic) (El resaltado es nuestro)</w:t>
      </w:r>
    </w:p>
    <w:p w:rsidR="008A0308" w:rsidRPr="008A0308" w:rsidRDefault="008A0308" w:rsidP="008A0308">
      <w:pPr>
        <w:jc w:val="both"/>
        <w:rPr>
          <w:rFonts w:ascii="Tahoma" w:hAnsi="Tahoma" w:cs="Tahoma"/>
          <w:sz w:val="21"/>
          <w:szCs w:val="21"/>
        </w:rPr>
      </w:pPr>
    </w:p>
    <w:p w:rsidR="008A0308" w:rsidRPr="008A0308" w:rsidRDefault="008A0308" w:rsidP="008A0308">
      <w:pPr>
        <w:pStyle w:val="Prrafodelista"/>
        <w:numPr>
          <w:ilvl w:val="0"/>
          <w:numId w:val="19"/>
        </w:numPr>
        <w:tabs>
          <w:tab w:val="clear" w:pos="360"/>
          <w:tab w:val="left" w:pos="567"/>
        </w:tabs>
        <w:ind w:left="567" w:hanging="567"/>
        <w:jc w:val="both"/>
        <w:rPr>
          <w:rFonts w:ascii="Tahoma" w:hAnsi="Tahoma" w:cs="Tahoma"/>
          <w:sz w:val="21"/>
          <w:szCs w:val="21"/>
          <w:lang w:val="es-ES_tradnl"/>
        </w:rPr>
      </w:pPr>
      <w:r w:rsidRPr="008A0308">
        <w:rPr>
          <w:rFonts w:ascii="Tahoma" w:hAnsi="Tahoma" w:cs="Tahoma"/>
          <w:sz w:val="21"/>
          <w:szCs w:val="21"/>
        </w:rPr>
        <w:t xml:space="preserve">En atención a lo expuesto, se tiene que la Autorización Municipal de Funcionamiento № 000347-2002 de fecha 18 de agosto de 2002, presentada por el Proveedor ante la Entidad constituye documentación falsa,  toda vez el contenido consignado en el mencionado documento difiere de la autorización original que ha sido remitido de los archivos Municipalidad Provincial de Santa, máxime </w:t>
      </w:r>
      <w:r w:rsidRPr="008A0308">
        <w:rPr>
          <w:rFonts w:ascii="Tahoma" w:hAnsi="Tahoma" w:cs="Tahoma"/>
          <w:sz w:val="21"/>
          <w:szCs w:val="21"/>
          <w:lang w:val="es-ES_tradnl"/>
        </w:rPr>
        <w:t xml:space="preserve">si el propio agente emisor, a través de una comunicación oficial, comunicó que la </w:t>
      </w:r>
      <w:r w:rsidRPr="008A0308">
        <w:rPr>
          <w:rFonts w:ascii="Tahoma" w:hAnsi="Tahoma" w:cs="Tahoma"/>
          <w:sz w:val="21"/>
          <w:szCs w:val="21"/>
        </w:rPr>
        <w:t xml:space="preserve">Autorización Municipal de </w:t>
      </w:r>
      <w:r w:rsidRPr="008A0308">
        <w:rPr>
          <w:rFonts w:ascii="Tahoma" w:hAnsi="Tahoma" w:cs="Tahoma"/>
          <w:sz w:val="21"/>
          <w:szCs w:val="21"/>
        </w:rPr>
        <w:lastRenderedPageBreak/>
        <w:t>Funcionamiento № 000347-2002</w:t>
      </w:r>
      <w:r w:rsidRPr="008A0308">
        <w:rPr>
          <w:rFonts w:ascii="Tahoma" w:hAnsi="Tahoma" w:cs="Tahoma"/>
          <w:sz w:val="21"/>
          <w:szCs w:val="21"/>
          <w:lang w:val="es-ES_tradnl"/>
        </w:rPr>
        <w:t xml:space="preserve"> no había </w:t>
      </w:r>
      <w:r w:rsidRPr="008A0308">
        <w:rPr>
          <w:rFonts w:ascii="Tahoma" w:hAnsi="Tahoma" w:cs="Tahoma"/>
          <w:sz w:val="21"/>
          <w:szCs w:val="21"/>
          <w:lang w:val="es-PE"/>
        </w:rPr>
        <w:t xml:space="preserve">sido expedida por su Institución, </w:t>
      </w:r>
      <w:r w:rsidRPr="008A0308">
        <w:rPr>
          <w:rFonts w:ascii="Tahoma" w:hAnsi="Tahoma" w:cs="Tahoma"/>
          <w:sz w:val="21"/>
          <w:szCs w:val="21"/>
        </w:rPr>
        <w:t xml:space="preserve">motivo por el cual queda demostrado fehacientemente la falsedad de la citada autorización, ya que, para que se configure este tipo de infracción constituye merito suficiente que </w:t>
      </w:r>
      <w:r w:rsidRPr="008A0308">
        <w:rPr>
          <w:rFonts w:ascii="Tahoma" w:hAnsi="Tahoma" w:cs="Tahoma"/>
          <w:b/>
          <w:shadow/>
          <w:sz w:val="21"/>
          <w:szCs w:val="21"/>
        </w:rPr>
        <w:t>los documentos cuestionados no hayan sido expedidos por el órgano o agente emisor correspondiente</w:t>
      </w:r>
      <w:r w:rsidRPr="008A0308">
        <w:rPr>
          <w:rFonts w:ascii="Tahoma" w:hAnsi="Tahoma" w:cs="Tahoma"/>
          <w:b/>
          <w:sz w:val="21"/>
          <w:szCs w:val="21"/>
        </w:rPr>
        <w:t xml:space="preserve"> o que siendo válidamente expedido haya sido adulterado en su contenido</w:t>
      </w:r>
      <w:r w:rsidRPr="008A0308">
        <w:rPr>
          <w:rFonts w:ascii="Tahoma" w:hAnsi="Tahoma" w:cs="Tahoma"/>
          <w:sz w:val="21"/>
          <w:szCs w:val="21"/>
        </w:rPr>
        <w:t>, criterio que ha sido recogido a través de este Tribunal en sendas resoluciones.</w:t>
      </w:r>
    </w:p>
    <w:p w:rsidR="008A0308" w:rsidRPr="008A0308" w:rsidRDefault="008A0308" w:rsidP="008A0308">
      <w:pPr>
        <w:pStyle w:val="Prrafodelista"/>
        <w:tabs>
          <w:tab w:val="left" w:pos="567"/>
        </w:tabs>
        <w:ind w:left="567"/>
        <w:jc w:val="both"/>
        <w:rPr>
          <w:rFonts w:ascii="Tahoma" w:hAnsi="Tahoma" w:cs="Tahoma"/>
          <w:sz w:val="21"/>
          <w:szCs w:val="21"/>
          <w:lang w:val="es-ES_tradnl"/>
        </w:rPr>
      </w:pPr>
    </w:p>
    <w:p w:rsidR="008A0308" w:rsidRPr="008A0308" w:rsidRDefault="008A0308" w:rsidP="008A0308">
      <w:pPr>
        <w:pStyle w:val="Prrafodelista"/>
        <w:numPr>
          <w:ilvl w:val="0"/>
          <w:numId w:val="19"/>
        </w:numPr>
        <w:tabs>
          <w:tab w:val="clear" w:pos="360"/>
          <w:tab w:val="left" w:pos="567"/>
        </w:tabs>
        <w:ind w:left="567" w:hanging="567"/>
        <w:jc w:val="both"/>
        <w:rPr>
          <w:rFonts w:ascii="Tahoma" w:hAnsi="Tahoma" w:cs="Tahoma"/>
          <w:sz w:val="21"/>
          <w:szCs w:val="21"/>
          <w:lang w:val="es-ES_tradnl"/>
        </w:rPr>
      </w:pPr>
      <w:r w:rsidRPr="008A0308">
        <w:rPr>
          <w:rFonts w:ascii="Tahoma" w:hAnsi="Tahoma" w:cs="Tahoma"/>
          <w:sz w:val="21"/>
          <w:szCs w:val="21"/>
          <w:lang w:val="es-ES_tradnl"/>
        </w:rPr>
        <w:t xml:space="preserve">En este sentido, ante lo manifestado por el supuesto agente emisor del documento cuestionado desvirtuando la veracidad de dicho documento hasta en tres ocasiones, queda demostrado que la empresa CONSTRUCTORA ALPEP S.R.L. presentó un documento falso ante la Entidad, con la finalidad de inscribirse en el Capítulo de Bienes y Servicios ante el Registro Nacional de Proveedores. Asimismo, resulta pertinente indicar que para determinar la falsedad de un documento no expedido por su órgano emisor, constituye mérito suficiente la manifestación efectuada por el propio agente emisor, a través de una comunicación oficial, en la que acredite que el documento cuestionado no ha sido expedida por él, tal y como ha sucedido en el presente caso puesto que </w:t>
      </w:r>
      <w:r w:rsidRPr="008A0308">
        <w:rPr>
          <w:rFonts w:ascii="Tahoma" w:hAnsi="Tahoma" w:cs="Tahoma"/>
          <w:iCs/>
          <w:sz w:val="21"/>
          <w:szCs w:val="21"/>
          <w:lang w:val="es-PE"/>
        </w:rPr>
        <w:t xml:space="preserve">la </w:t>
      </w:r>
      <w:r w:rsidRPr="008A0308">
        <w:rPr>
          <w:rFonts w:ascii="Tahoma" w:hAnsi="Tahoma" w:cs="Tahoma"/>
          <w:sz w:val="21"/>
          <w:szCs w:val="21"/>
        </w:rPr>
        <w:t xml:space="preserve">Municipalidad Provincial de Santa </w:t>
      </w:r>
      <w:r w:rsidRPr="008A0308">
        <w:rPr>
          <w:rFonts w:ascii="Tahoma" w:hAnsi="Tahoma" w:cs="Tahoma"/>
          <w:sz w:val="21"/>
          <w:szCs w:val="21"/>
          <w:lang w:val="es-PE"/>
        </w:rPr>
        <w:t>confirmó que la Autorización Municipal de Funcionamiento № 000347-2002 de fecha 18 de agosto de 2002 no ha sido expedida por dicha entidad mediante Oficio № 017-2009-MPS-GSP de fecha 03 de marzo de 2009.</w:t>
      </w:r>
    </w:p>
    <w:p w:rsidR="008A0308" w:rsidRPr="008A0308" w:rsidRDefault="008A0308" w:rsidP="008A0308">
      <w:pPr>
        <w:pStyle w:val="Prrafodelista"/>
        <w:rPr>
          <w:rFonts w:ascii="Tahoma" w:hAnsi="Tahoma" w:cs="Tahoma"/>
          <w:sz w:val="21"/>
          <w:szCs w:val="21"/>
          <w:lang w:val="es-ES_tradnl"/>
        </w:rPr>
      </w:pPr>
    </w:p>
    <w:p w:rsidR="008A0308" w:rsidRPr="008A0308" w:rsidRDefault="008A0308" w:rsidP="008A0308">
      <w:pPr>
        <w:pStyle w:val="Prrafodelista"/>
        <w:numPr>
          <w:ilvl w:val="0"/>
          <w:numId w:val="19"/>
        </w:numPr>
        <w:tabs>
          <w:tab w:val="clear" w:pos="360"/>
          <w:tab w:val="num" w:pos="567"/>
        </w:tabs>
        <w:ind w:left="567" w:hanging="567"/>
        <w:jc w:val="both"/>
        <w:rPr>
          <w:rFonts w:ascii="Tahoma" w:hAnsi="Tahoma" w:cs="Tahoma"/>
          <w:sz w:val="21"/>
          <w:szCs w:val="21"/>
        </w:rPr>
      </w:pPr>
      <w:r w:rsidRPr="008A0308">
        <w:rPr>
          <w:rFonts w:ascii="Tahoma" w:hAnsi="Tahoma" w:cs="Tahoma"/>
          <w:sz w:val="21"/>
          <w:szCs w:val="21"/>
        </w:rPr>
        <w:t>En razón a lo expuesto en el numeral precedente, y en base a lo informado por las Entidad (otorgante de la autorización antes mencionada), queda demostrado que el Proveedor presentó ante la Entidad la Autorización Municipal de Funcionamiento № 000347-2002 de fecha 18 de agosto de 2002, con la finalidad de tener inscripción como Proveedor de Bienes y Servicios ante el Registro Nacional de Proveedores (RNP).</w:t>
      </w:r>
    </w:p>
    <w:p w:rsidR="008A0308" w:rsidRPr="008A0308" w:rsidRDefault="008A0308" w:rsidP="008A0308">
      <w:pPr>
        <w:pStyle w:val="Prrafodelista"/>
        <w:jc w:val="both"/>
        <w:rPr>
          <w:rFonts w:ascii="Tahoma" w:hAnsi="Tahoma" w:cs="Tahoma"/>
          <w:sz w:val="21"/>
          <w:szCs w:val="21"/>
        </w:rPr>
      </w:pPr>
    </w:p>
    <w:p w:rsidR="008A0308" w:rsidRPr="008A0308" w:rsidRDefault="008A0308" w:rsidP="008A0308">
      <w:pPr>
        <w:pStyle w:val="Prrafodelista"/>
        <w:numPr>
          <w:ilvl w:val="0"/>
          <w:numId w:val="19"/>
        </w:numPr>
        <w:tabs>
          <w:tab w:val="clear" w:pos="360"/>
          <w:tab w:val="num" w:pos="567"/>
        </w:tabs>
        <w:ind w:left="567" w:hanging="567"/>
        <w:contextualSpacing/>
        <w:jc w:val="both"/>
        <w:rPr>
          <w:rFonts w:ascii="Tahoma" w:hAnsi="Tahoma" w:cs="Tahoma"/>
          <w:sz w:val="21"/>
          <w:szCs w:val="21"/>
        </w:rPr>
      </w:pPr>
      <w:r w:rsidRPr="008A0308">
        <w:rPr>
          <w:rFonts w:ascii="Tahoma" w:hAnsi="Tahoma" w:cs="Tahoma"/>
          <w:sz w:val="21"/>
          <w:szCs w:val="21"/>
        </w:rPr>
        <w:t>Sobre la base de lo expuesto, en virtud al derecho de defensa que ampara al administrado, el Proveedor no ha presentado argumentos y/o documentación adicional que permitan justificar su conducta que está inmersa en infracción, a pesar de haber sido debidamente notificado mediante Cedula de Notificación № 2270/2011.TC., según constancia que obra en autos.</w:t>
      </w:r>
    </w:p>
    <w:p w:rsidR="008A0308" w:rsidRPr="008A0308" w:rsidRDefault="008A0308" w:rsidP="008A0308">
      <w:pPr>
        <w:pStyle w:val="Prrafodelista"/>
        <w:ind w:left="567"/>
        <w:contextualSpacing/>
        <w:jc w:val="both"/>
        <w:rPr>
          <w:rFonts w:ascii="Tahoma" w:hAnsi="Tahoma" w:cs="Tahoma"/>
          <w:sz w:val="21"/>
          <w:szCs w:val="21"/>
        </w:rPr>
      </w:pPr>
    </w:p>
    <w:p w:rsidR="008A0308" w:rsidRPr="008A0308" w:rsidRDefault="008A0308" w:rsidP="008A0308">
      <w:pPr>
        <w:pStyle w:val="Sangradetextonormal"/>
        <w:numPr>
          <w:ilvl w:val="0"/>
          <w:numId w:val="19"/>
        </w:numPr>
        <w:tabs>
          <w:tab w:val="clear" w:pos="360"/>
          <w:tab w:val="left" w:pos="0"/>
        </w:tabs>
        <w:spacing w:after="0"/>
        <w:ind w:left="567" w:hanging="567"/>
        <w:jc w:val="both"/>
        <w:rPr>
          <w:rFonts w:ascii="Tahoma" w:hAnsi="Tahoma" w:cs="Tahoma"/>
          <w:sz w:val="21"/>
          <w:szCs w:val="21"/>
        </w:rPr>
      </w:pPr>
      <w:r w:rsidRPr="008A0308">
        <w:rPr>
          <w:rFonts w:ascii="Tahoma" w:hAnsi="Tahoma" w:cs="Tahoma"/>
          <w:sz w:val="21"/>
          <w:szCs w:val="21"/>
        </w:rPr>
        <w:t>En consecuencia, y conforme al criterio uniforme del Tribunal, siendo evidente las pruebas materiales contenidas en el expediente administrativo, se ha verificado la existencia de un innegable vínculo entre el imputado y la conducta prevista en la norma como infracción. Por este motivo, debe concluirse que la infracción se ha cometido y que su autor ha sido el Proveedor.</w:t>
      </w:r>
    </w:p>
    <w:p w:rsidR="008A0308" w:rsidRPr="008A0308" w:rsidRDefault="008A0308" w:rsidP="008A0308">
      <w:pPr>
        <w:pStyle w:val="Sangradetextonormal"/>
        <w:tabs>
          <w:tab w:val="left" w:pos="0"/>
        </w:tabs>
        <w:spacing w:after="0"/>
        <w:ind w:left="567" w:hanging="567"/>
        <w:jc w:val="both"/>
        <w:rPr>
          <w:rFonts w:ascii="Tahoma" w:hAnsi="Tahoma" w:cs="Tahoma"/>
          <w:sz w:val="21"/>
          <w:szCs w:val="21"/>
        </w:rPr>
      </w:pPr>
    </w:p>
    <w:p w:rsidR="008A0308" w:rsidRPr="008A0308" w:rsidRDefault="008A0308" w:rsidP="008A0308">
      <w:pPr>
        <w:pStyle w:val="Sangradetextonormal"/>
        <w:numPr>
          <w:ilvl w:val="0"/>
          <w:numId w:val="19"/>
        </w:numPr>
        <w:tabs>
          <w:tab w:val="clear" w:pos="360"/>
          <w:tab w:val="left" w:pos="0"/>
        </w:tabs>
        <w:spacing w:after="0"/>
        <w:ind w:left="567" w:hanging="567"/>
        <w:jc w:val="both"/>
        <w:rPr>
          <w:rFonts w:ascii="Tahoma" w:hAnsi="Tahoma" w:cs="Tahoma"/>
          <w:sz w:val="21"/>
          <w:szCs w:val="21"/>
        </w:rPr>
      </w:pPr>
      <w:r w:rsidRPr="008A0308">
        <w:rPr>
          <w:rFonts w:ascii="Tahoma" w:hAnsi="Tahoma" w:cs="Tahoma"/>
          <w:sz w:val="21"/>
          <w:szCs w:val="21"/>
        </w:rPr>
        <w:t>Por lo expuesto, este Colegiado considera que en el presente caso se ha configurado la infracción tipificada en el inciso 10) del artículo 294 del Reglamento y, consecuentemente, existe mérito suficiente para imponer la correspondiente sanción administrativa.</w:t>
      </w:r>
    </w:p>
    <w:p w:rsidR="008A0308" w:rsidRPr="008A0308" w:rsidRDefault="008A0308" w:rsidP="008A0308">
      <w:pPr>
        <w:pStyle w:val="Prrafodelista"/>
        <w:rPr>
          <w:rFonts w:ascii="Tahoma" w:hAnsi="Tahoma" w:cs="Tahoma"/>
          <w:sz w:val="21"/>
          <w:szCs w:val="21"/>
        </w:rPr>
      </w:pPr>
    </w:p>
    <w:p w:rsidR="008A0308" w:rsidRPr="008A0308" w:rsidRDefault="008A0308" w:rsidP="008A0308">
      <w:pPr>
        <w:pStyle w:val="Sangradetextonormal"/>
        <w:numPr>
          <w:ilvl w:val="0"/>
          <w:numId w:val="19"/>
        </w:numPr>
        <w:tabs>
          <w:tab w:val="clear" w:pos="360"/>
          <w:tab w:val="left" w:pos="0"/>
        </w:tabs>
        <w:spacing w:after="0"/>
        <w:ind w:left="567" w:hanging="567"/>
        <w:jc w:val="both"/>
        <w:rPr>
          <w:rFonts w:ascii="Tahoma" w:hAnsi="Tahoma" w:cs="Tahoma"/>
          <w:sz w:val="21"/>
          <w:szCs w:val="21"/>
        </w:rPr>
      </w:pPr>
      <w:r w:rsidRPr="008A0308">
        <w:rPr>
          <w:rFonts w:ascii="Tahoma" w:hAnsi="Tahoma" w:cs="Tahoma"/>
          <w:sz w:val="21"/>
          <w:szCs w:val="21"/>
        </w:rPr>
        <w:t xml:space="preserve">Ahora bien, cabe señalar que, para la infracción cometida por el Proveedor, el Reglamento ha previsto una sanción administrativa de inhabilitación temporal para participar en procesos de selección y contratar con el Estado por un periodo no menor de tres (3) ni mayor de doce (12) meses. </w:t>
      </w:r>
    </w:p>
    <w:p w:rsidR="008A0308" w:rsidRPr="008A0308" w:rsidRDefault="008A0308" w:rsidP="008A0308">
      <w:pPr>
        <w:pStyle w:val="Prrafodelista"/>
        <w:rPr>
          <w:rFonts w:ascii="Tahoma" w:hAnsi="Tahoma" w:cs="Tahoma"/>
          <w:sz w:val="21"/>
          <w:szCs w:val="21"/>
        </w:rPr>
      </w:pPr>
    </w:p>
    <w:p w:rsidR="008A0308" w:rsidRPr="008A0308" w:rsidRDefault="008A0308" w:rsidP="008A0308">
      <w:pPr>
        <w:pStyle w:val="Sangradetextonormal"/>
        <w:numPr>
          <w:ilvl w:val="0"/>
          <w:numId w:val="19"/>
        </w:numPr>
        <w:tabs>
          <w:tab w:val="clear" w:pos="360"/>
          <w:tab w:val="left" w:pos="0"/>
        </w:tabs>
        <w:spacing w:after="0"/>
        <w:ind w:left="567" w:hanging="567"/>
        <w:jc w:val="both"/>
        <w:rPr>
          <w:rFonts w:ascii="Tahoma" w:hAnsi="Tahoma" w:cs="Tahoma"/>
          <w:sz w:val="21"/>
          <w:szCs w:val="21"/>
        </w:rPr>
      </w:pPr>
      <w:r w:rsidRPr="008A0308">
        <w:rPr>
          <w:rFonts w:ascii="Tahoma" w:hAnsi="Tahoma" w:cs="Tahoma"/>
          <w:sz w:val="21"/>
          <w:szCs w:val="21"/>
        </w:rPr>
        <w:t>En tal sentido, y para graduar la sanción a imponerse, este Colegiado tiene en consideración los criterios consignados en el artículo 302 del Reglamento</w:t>
      </w:r>
      <w:r w:rsidRPr="008A0308">
        <w:rPr>
          <w:rStyle w:val="Refdenotaalpie"/>
          <w:rFonts w:ascii="Tahoma" w:hAnsi="Tahoma" w:cs="Tahoma"/>
          <w:sz w:val="21"/>
          <w:szCs w:val="21"/>
        </w:rPr>
        <w:footnoteReference w:id="3"/>
      </w:r>
      <w:r w:rsidRPr="008A0308">
        <w:rPr>
          <w:rFonts w:ascii="Tahoma" w:hAnsi="Tahoma" w:cs="Tahoma"/>
          <w:sz w:val="21"/>
          <w:szCs w:val="21"/>
        </w:rPr>
        <w:t>.</w:t>
      </w:r>
    </w:p>
    <w:p w:rsidR="008A0308" w:rsidRPr="008A0308" w:rsidRDefault="008A0308" w:rsidP="008A0308">
      <w:pPr>
        <w:pStyle w:val="Prrafodelista"/>
        <w:rPr>
          <w:rFonts w:ascii="Tahoma" w:hAnsi="Tahoma" w:cs="Tahoma"/>
          <w:sz w:val="21"/>
          <w:szCs w:val="21"/>
        </w:rPr>
      </w:pPr>
    </w:p>
    <w:p w:rsidR="008A0308" w:rsidRPr="008A0308" w:rsidRDefault="008A0308" w:rsidP="008A0308">
      <w:pPr>
        <w:pStyle w:val="Sangradetextonormal"/>
        <w:numPr>
          <w:ilvl w:val="0"/>
          <w:numId w:val="19"/>
        </w:numPr>
        <w:tabs>
          <w:tab w:val="clear" w:pos="360"/>
          <w:tab w:val="left" w:pos="0"/>
        </w:tabs>
        <w:spacing w:after="0"/>
        <w:ind w:left="567" w:hanging="567"/>
        <w:jc w:val="both"/>
        <w:rPr>
          <w:rFonts w:ascii="Tahoma" w:hAnsi="Tahoma" w:cs="Tahoma"/>
          <w:sz w:val="21"/>
          <w:szCs w:val="21"/>
        </w:rPr>
      </w:pPr>
      <w:r w:rsidRPr="008A0308">
        <w:rPr>
          <w:rFonts w:ascii="Tahoma" w:hAnsi="Tahoma" w:cs="Tahoma"/>
          <w:sz w:val="21"/>
          <w:szCs w:val="21"/>
        </w:rPr>
        <w:t xml:space="preserve">De esta manera, atendiendo a la naturaleza de la infracción, debe tenerse en cuenta que ésta reviste una considerable gravedad pues vulnera el </w:t>
      </w:r>
      <w:r w:rsidRPr="008A0308">
        <w:rPr>
          <w:rFonts w:ascii="Tahoma" w:hAnsi="Tahoma" w:cs="Tahoma"/>
          <w:i/>
          <w:sz w:val="21"/>
          <w:szCs w:val="21"/>
        </w:rPr>
        <w:t>Principio de Moralidad</w:t>
      </w:r>
      <w:r w:rsidRPr="008A0308">
        <w:rPr>
          <w:rFonts w:ascii="Tahoma" w:hAnsi="Tahoma" w:cs="Tahoma"/>
          <w:sz w:val="21"/>
          <w:szCs w:val="21"/>
        </w:rPr>
        <w:t xml:space="preserve"> que debe regir a todos los actos vinculados a las contrataciones públicas, conforme a lo prescrito en el numeral 1) del artículo 3 del Texto Único Ordenado de la Ley de Contrataciones y Adquisiciones del Estado, aprobado por Decreto Supremo № 083-2004-PCM. </w:t>
      </w:r>
    </w:p>
    <w:p w:rsidR="008A0308" w:rsidRPr="008A0308" w:rsidRDefault="008A0308" w:rsidP="008A0308">
      <w:pPr>
        <w:pStyle w:val="Prrafodelista"/>
        <w:rPr>
          <w:rFonts w:ascii="Tahoma" w:hAnsi="Tahoma" w:cs="Tahoma"/>
          <w:sz w:val="21"/>
          <w:szCs w:val="21"/>
        </w:rPr>
      </w:pPr>
    </w:p>
    <w:p w:rsidR="008A0308" w:rsidRPr="008A0308" w:rsidRDefault="008A0308" w:rsidP="008A0308">
      <w:pPr>
        <w:pStyle w:val="Prrafodelista"/>
        <w:ind w:left="567"/>
        <w:jc w:val="both"/>
        <w:rPr>
          <w:rFonts w:ascii="Tahoma" w:hAnsi="Tahoma" w:cs="Tahoma"/>
          <w:sz w:val="21"/>
          <w:szCs w:val="21"/>
        </w:rPr>
      </w:pPr>
      <w:r w:rsidRPr="008A0308">
        <w:rPr>
          <w:rFonts w:ascii="Tahoma" w:hAnsi="Tahoma" w:cs="Tahoma"/>
          <w:sz w:val="21"/>
          <w:szCs w:val="21"/>
        </w:rPr>
        <w:t xml:space="preserve">Por lo demás, dicho principio, junto a la </w:t>
      </w:r>
      <w:r w:rsidRPr="008A0308">
        <w:rPr>
          <w:rFonts w:ascii="Tahoma" w:hAnsi="Tahoma" w:cs="Tahoma"/>
          <w:i/>
          <w:sz w:val="21"/>
          <w:szCs w:val="21"/>
        </w:rPr>
        <w:t>Fe Pública</w:t>
      </w:r>
      <w:r w:rsidRPr="008A0308">
        <w:rPr>
          <w:rFonts w:ascii="Tahoma" w:hAnsi="Tahoma" w:cs="Tahoma"/>
          <w:sz w:val="21"/>
          <w:szCs w:val="21"/>
        </w:rPr>
        <w:t>, constituyen bienes jurídicos merecedores de protección especial, pues constituyen los pilares de las relaciones suscitadas entre la Administración Pública y los administrados.</w:t>
      </w:r>
    </w:p>
    <w:p w:rsidR="008A0308" w:rsidRPr="008A0308" w:rsidRDefault="008A0308" w:rsidP="008A0308">
      <w:pPr>
        <w:pStyle w:val="Prrafodelista"/>
        <w:rPr>
          <w:rFonts w:ascii="Tahoma" w:hAnsi="Tahoma" w:cs="Tahoma"/>
          <w:sz w:val="21"/>
          <w:szCs w:val="21"/>
        </w:rPr>
      </w:pPr>
    </w:p>
    <w:p w:rsidR="008A0308" w:rsidRPr="008A0308" w:rsidRDefault="008A0308" w:rsidP="008A0308">
      <w:pPr>
        <w:pStyle w:val="Prrafodelista"/>
        <w:numPr>
          <w:ilvl w:val="0"/>
          <w:numId w:val="19"/>
        </w:numPr>
        <w:tabs>
          <w:tab w:val="clear" w:pos="360"/>
          <w:tab w:val="num" w:pos="567"/>
        </w:tabs>
        <w:ind w:left="567" w:hanging="567"/>
        <w:contextualSpacing/>
        <w:jc w:val="both"/>
        <w:rPr>
          <w:rFonts w:ascii="Tahoma" w:hAnsi="Tahoma" w:cs="Tahoma"/>
          <w:sz w:val="21"/>
          <w:szCs w:val="21"/>
        </w:rPr>
      </w:pPr>
      <w:r w:rsidRPr="008A0308">
        <w:rPr>
          <w:rFonts w:ascii="Tahoma" w:hAnsi="Tahoma" w:cs="Tahoma"/>
          <w:sz w:val="21"/>
          <w:szCs w:val="21"/>
        </w:rPr>
        <w:t xml:space="preserve">En igual sentido, en cuanto al criterio de intencionalidad del infractor, debe precisarse que para graduar la sanción constituye un factor subjetivo que se dirige a medir el nivel de participación de la voluntad del agente en la comisión del ilícito. En tal sentido, resulta materialmente imposible que su probanza repose, en estricto, sobre la base de un medio probatorio objetivo. Por el contrario, a efectos de medir la intencionalidad, basta tomar en consideración una serie de hechos ciertos que permitan inferir claramente que existió voluntad de parte del infractor en la comisión del tipo, sea porque quiso obtener provecho propio o sea porque, quiso causar algún tipo de daño. Por ello, la Autorización Municipal de Funcionamiento № 000347-2002 de fecha 18 de agosto de 2002, documentos </w:t>
      </w:r>
      <w:r w:rsidRPr="008A0308">
        <w:rPr>
          <w:rFonts w:ascii="Tahoma" w:hAnsi="Tahoma" w:cs="Tahoma"/>
          <w:color w:val="000000"/>
          <w:sz w:val="21"/>
          <w:szCs w:val="21"/>
        </w:rPr>
        <w:t>falso presentado por el Proveedor, y que fuera presentado en</w:t>
      </w:r>
      <w:r w:rsidRPr="008A0308">
        <w:rPr>
          <w:rFonts w:ascii="Tahoma" w:hAnsi="Tahoma" w:cs="Tahoma"/>
          <w:sz w:val="21"/>
          <w:szCs w:val="21"/>
        </w:rPr>
        <w:t xml:space="preserve"> su inscripción como Proveedor de Bienes y Servicios ante el Registro Nacional de Proveedores (RNP), </w:t>
      </w:r>
      <w:r w:rsidRPr="008A0308">
        <w:rPr>
          <w:rFonts w:ascii="Tahoma" w:hAnsi="Tahoma" w:cs="Tahoma"/>
          <w:color w:val="000000"/>
          <w:sz w:val="21"/>
          <w:szCs w:val="21"/>
        </w:rPr>
        <w:t>estaba dirigido a acreditar uno de los documentos necesarios a fin de obtener la mencionada inscripción, lo que revela la existencia de intencionalidad en la comisión del ilícito</w:t>
      </w:r>
      <w:r w:rsidRPr="008A0308">
        <w:rPr>
          <w:rFonts w:ascii="Tahoma" w:hAnsi="Tahoma" w:cs="Tahoma"/>
          <w:sz w:val="21"/>
          <w:szCs w:val="21"/>
        </w:rPr>
        <w:t xml:space="preserve">. </w:t>
      </w:r>
    </w:p>
    <w:p w:rsidR="008A0308" w:rsidRPr="008A0308" w:rsidRDefault="008A0308" w:rsidP="008A0308">
      <w:pPr>
        <w:pStyle w:val="Prrafodelista"/>
        <w:ind w:left="567"/>
        <w:jc w:val="both"/>
        <w:rPr>
          <w:rFonts w:ascii="Tahoma" w:hAnsi="Tahoma" w:cs="Tahoma"/>
          <w:sz w:val="21"/>
          <w:szCs w:val="21"/>
        </w:rPr>
      </w:pPr>
    </w:p>
    <w:p w:rsidR="008A0308" w:rsidRPr="008A0308" w:rsidRDefault="008A0308" w:rsidP="008A0308">
      <w:pPr>
        <w:pStyle w:val="Prrafodelista"/>
        <w:numPr>
          <w:ilvl w:val="0"/>
          <w:numId w:val="19"/>
        </w:numPr>
        <w:tabs>
          <w:tab w:val="clear" w:pos="360"/>
          <w:tab w:val="num" w:pos="567"/>
        </w:tabs>
        <w:ind w:left="567" w:hanging="567"/>
        <w:contextualSpacing/>
        <w:jc w:val="both"/>
        <w:rPr>
          <w:rFonts w:ascii="Tahoma" w:hAnsi="Tahoma" w:cs="Tahoma"/>
          <w:sz w:val="21"/>
          <w:szCs w:val="21"/>
        </w:rPr>
      </w:pPr>
      <w:r w:rsidRPr="008A0308">
        <w:rPr>
          <w:rFonts w:ascii="Tahoma" w:hAnsi="Tahoma" w:cs="Tahoma"/>
          <w:sz w:val="21"/>
          <w:szCs w:val="21"/>
        </w:rPr>
        <w:t xml:space="preserve">Sin perjuicio de lo anterior, respecto de las condiciones del infractor y de su conducta procesal durante la sustanciación del presente procedimiento administrativo </w:t>
      </w:r>
      <w:r w:rsidRPr="008A0308">
        <w:rPr>
          <w:rFonts w:ascii="Tahoma" w:hAnsi="Tahoma" w:cs="Tahoma"/>
          <w:sz w:val="21"/>
          <w:szCs w:val="21"/>
        </w:rPr>
        <w:lastRenderedPageBreak/>
        <w:t>sancionador, abona a favor del infractor la ausencia de antecedentes en la comisión de infracciones, y en contra que el Proveedor no ha presentado sus descargos.</w:t>
      </w:r>
    </w:p>
    <w:p w:rsidR="008A0308" w:rsidRPr="008A0308" w:rsidRDefault="008A0308" w:rsidP="008A0308">
      <w:pPr>
        <w:pStyle w:val="Prrafodelista"/>
        <w:tabs>
          <w:tab w:val="num" w:pos="567"/>
        </w:tabs>
        <w:rPr>
          <w:rFonts w:ascii="Tahoma" w:hAnsi="Tahoma" w:cs="Tahoma"/>
          <w:sz w:val="21"/>
          <w:szCs w:val="21"/>
        </w:rPr>
      </w:pPr>
    </w:p>
    <w:p w:rsidR="008A0308" w:rsidRPr="008A0308" w:rsidRDefault="008A0308" w:rsidP="008A0308">
      <w:pPr>
        <w:pStyle w:val="Prrafodelista"/>
        <w:numPr>
          <w:ilvl w:val="0"/>
          <w:numId w:val="19"/>
        </w:numPr>
        <w:tabs>
          <w:tab w:val="clear" w:pos="360"/>
          <w:tab w:val="num" w:pos="567"/>
        </w:tabs>
        <w:ind w:left="567" w:hanging="567"/>
        <w:contextualSpacing/>
        <w:jc w:val="both"/>
        <w:rPr>
          <w:rFonts w:ascii="Tahoma" w:hAnsi="Tahoma" w:cs="Tahoma"/>
          <w:sz w:val="21"/>
          <w:szCs w:val="21"/>
        </w:rPr>
      </w:pPr>
      <w:r w:rsidRPr="008A0308">
        <w:rPr>
          <w:rFonts w:ascii="Tahoma" w:hAnsi="Tahoma" w:cs="Tahoma"/>
          <w:sz w:val="21"/>
          <w:szCs w:val="21"/>
        </w:rPr>
        <w:t xml:space="preserve">Asimismo, resulta importante traer a colación el </w:t>
      </w:r>
      <w:r w:rsidRPr="008A0308">
        <w:rPr>
          <w:rFonts w:ascii="Tahoma" w:hAnsi="Tahoma" w:cs="Tahoma"/>
          <w:i/>
          <w:sz w:val="21"/>
          <w:szCs w:val="21"/>
        </w:rPr>
        <w:t>principio de razonabilidad</w:t>
      </w:r>
      <w:r w:rsidRPr="008A0308">
        <w:rPr>
          <w:rFonts w:ascii="Tahoma" w:hAnsi="Tahoma" w:cs="Tahoma"/>
          <w:sz w:val="21"/>
          <w:szCs w:val="21"/>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8A0308" w:rsidRPr="008A0308" w:rsidRDefault="008A0308" w:rsidP="008A0308">
      <w:pPr>
        <w:pStyle w:val="Prrafodelista"/>
        <w:tabs>
          <w:tab w:val="num" w:pos="567"/>
        </w:tabs>
        <w:rPr>
          <w:rFonts w:ascii="Tahoma" w:hAnsi="Tahoma" w:cs="Tahoma"/>
          <w:sz w:val="21"/>
          <w:szCs w:val="21"/>
        </w:rPr>
      </w:pPr>
    </w:p>
    <w:p w:rsidR="008A0308" w:rsidRPr="008A0308" w:rsidRDefault="008A0308" w:rsidP="008A0308">
      <w:pPr>
        <w:pStyle w:val="Prrafodelista"/>
        <w:numPr>
          <w:ilvl w:val="0"/>
          <w:numId w:val="19"/>
        </w:numPr>
        <w:tabs>
          <w:tab w:val="clear" w:pos="360"/>
          <w:tab w:val="num" w:pos="567"/>
        </w:tabs>
        <w:ind w:left="567" w:hanging="567"/>
        <w:contextualSpacing/>
        <w:jc w:val="both"/>
        <w:rPr>
          <w:rFonts w:ascii="Tahoma" w:hAnsi="Tahoma" w:cs="Tahoma"/>
          <w:sz w:val="21"/>
          <w:szCs w:val="21"/>
        </w:rPr>
      </w:pPr>
      <w:r w:rsidRPr="008A0308">
        <w:rPr>
          <w:rFonts w:ascii="Tahoma" w:hAnsi="Tahoma" w:cs="Tahoma"/>
          <w:sz w:val="21"/>
          <w:szCs w:val="21"/>
        </w:rPr>
        <w:t>Finalmente, es pertinente indicar que la falsificación de documentos constituye un ilícito penal, previsto y sancionado en el artículo 427 del Código Penal</w:t>
      </w:r>
      <w:r w:rsidRPr="008A0308">
        <w:rPr>
          <w:rStyle w:val="Refdenotaalpie"/>
          <w:rFonts w:ascii="Tahoma" w:hAnsi="Tahoma" w:cs="Tahoma"/>
          <w:sz w:val="21"/>
          <w:szCs w:val="21"/>
        </w:rPr>
        <w:footnoteReference w:id="4"/>
      </w:r>
      <w:r w:rsidRPr="008A0308">
        <w:rPr>
          <w:rFonts w:ascii="Tahoma" w:hAnsi="Tahoma" w:cs="Tahoma"/>
          <w:sz w:val="21"/>
          <w:szCs w:val="21"/>
        </w:rPr>
        <w:t>, el cual tutela como bien jurídico la fe pública y la funcionalidad del documento en el tráfico jurídico y trata de evitar perjuicios que afecten la confiabilidad especialmente en las adquisiciones que realiza el Estado. Por tanto, debe ponerse en conocimiento del Presidente del OSCE los hechos expuestos para que proceda conforme a sus atribuciones.</w:t>
      </w:r>
    </w:p>
    <w:p w:rsidR="00F31A7A" w:rsidRPr="008A0308" w:rsidRDefault="00F31A7A" w:rsidP="00117E78">
      <w:pPr>
        <w:pStyle w:val="Prrafodelista"/>
        <w:tabs>
          <w:tab w:val="num" w:pos="567"/>
        </w:tabs>
        <w:ind w:left="0"/>
        <w:rPr>
          <w:rFonts w:ascii="Tahoma" w:hAnsi="Tahoma" w:cs="Tahoma"/>
          <w:sz w:val="21"/>
          <w:szCs w:val="21"/>
        </w:rPr>
      </w:pPr>
    </w:p>
    <w:p w:rsidR="008A0308" w:rsidRPr="008A0308" w:rsidRDefault="008A0308" w:rsidP="008A0308">
      <w:pPr>
        <w:ind w:left="567" w:firstLine="567"/>
        <w:jc w:val="both"/>
        <w:rPr>
          <w:rFonts w:ascii="Tahoma" w:hAnsi="Tahoma" w:cs="Tahoma"/>
          <w:sz w:val="21"/>
          <w:szCs w:val="21"/>
        </w:rPr>
      </w:pPr>
      <w:r w:rsidRPr="008A0308">
        <w:rPr>
          <w:rFonts w:ascii="Tahoma" w:hAnsi="Tahoma" w:cs="Tahoma"/>
          <w:color w:val="000000"/>
          <w:sz w:val="21"/>
          <w:szCs w:val="21"/>
        </w:rPr>
        <w:t xml:space="preserve">Por estos fundamentos, de conformidad con el informe del Vocal Ponente </w:t>
      </w:r>
      <w:r w:rsidRPr="008A0308">
        <w:rPr>
          <w:rFonts w:ascii="Tahoma" w:hAnsi="Tahoma" w:cs="Tahoma"/>
          <w:sz w:val="21"/>
          <w:szCs w:val="21"/>
        </w:rPr>
        <w:t>Doctor Carlos Vicente Navas Rondón</w:t>
      </w:r>
      <w:r w:rsidRPr="008A0308">
        <w:rPr>
          <w:rFonts w:ascii="Tahoma" w:hAnsi="Tahoma" w:cs="Tahoma"/>
          <w:color w:val="000000"/>
          <w:sz w:val="21"/>
          <w:szCs w:val="21"/>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8A0308" w:rsidRPr="008A0308" w:rsidRDefault="008A0308" w:rsidP="008A0308">
      <w:pPr>
        <w:jc w:val="both"/>
        <w:rPr>
          <w:rFonts w:ascii="Tahoma" w:hAnsi="Tahoma" w:cs="Tahoma"/>
          <w:sz w:val="21"/>
          <w:szCs w:val="21"/>
        </w:rPr>
      </w:pPr>
    </w:p>
    <w:p w:rsidR="00F31A7A" w:rsidRPr="008A0308" w:rsidRDefault="00F31A7A" w:rsidP="00266B38">
      <w:pPr>
        <w:ind w:left="567" w:firstLine="567"/>
        <w:jc w:val="both"/>
        <w:rPr>
          <w:rFonts w:ascii="Tahoma" w:hAnsi="Tahoma" w:cs="Tahoma"/>
          <w:sz w:val="21"/>
          <w:szCs w:val="21"/>
        </w:rPr>
      </w:pPr>
    </w:p>
    <w:p w:rsidR="00F31A7A" w:rsidRPr="008A0308" w:rsidRDefault="00F31A7A" w:rsidP="00F31A7A">
      <w:pPr>
        <w:ind w:right="-315"/>
        <w:jc w:val="both"/>
        <w:rPr>
          <w:rFonts w:ascii="Tahoma" w:hAnsi="Tahoma" w:cs="Tahoma"/>
          <w:b/>
          <w:sz w:val="21"/>
          <w:szCs w:val="21"/>
        </w:rPr>
      </w:pPr>
      <w:r w:rsidRPr="008A0308">
        <w:rPr>
          <w:rFonts w:ascii="Tahoma" w:hAnsi="Tahoma" w:cs="Tahoma"/>
          <w:b/>
          <w:sz w:val="21"/>
          <w:szCs w:val="21"/>
        </w:rPr>
        <w:t>LA SALA RESUELVE:</w:t>
      </w:r>
    </w:p>
    <w:p w:rsidR="00F31A7A" w:rsidRPr="008A0308" w:rsidRDefault="00F31A7A" w:rsidP="00F31A7A">
      <w:pPr>
        <w:ind w:left="-180"/>
        <w:jc w:val="both"/>
        <w:rPr>
          <w:rFonts w:ascii="Tahoma" w:hAnsi="Tahoma" w:cs="Tahoma"/>
          <w:sz w:val="21"/>
          <w:szCs w:val="21"/>
        </w:rPr>
      </w:pPr>
    </w:p>
    <w:p w:rsidR="008A0308" w:rsidRPr="008A0308" w:rsidRDefault="008A0308" w:rsidP="008A0308">
      <w:pPr>
        <w:numPr>
          <w:ilvl w:val="0"/>
          <w:numId w:val="20"/>
        </w:numPr>
        <w:tabs>
          <w:tab w:val="clear" w:pos="720"/>
          <w:tab w:val="left" w:pos="0"/>
        </w:tabs>
        <w:ind w:left="567" w:hanging="567"/>
        <w:jc w:val="both"/>
        <w:rPr>
          <w:rFonts w:ascii="Tahoma" w:hAnsi="Tahoma" w:cs="Tahoma"/>
          <w:sz w:val="21"/>
          <w:szCs w:val="21"/>
        </w:rPr>
      </w:pPr>
      <w:r w:rsidRPr="008A0308">
        <w:rPr>
          <w:rFonts w:ascii="Tahoma" w:hAnsi="Tahoma" w:cs="Tahoma"/>
          <w:sz w:val="21"/>
          <w:szCs w:val="21"/>
        </w:rPr>
        <w:t xml:space="preserve">Imponer a la empresa CONSTRUCTORA ALPEP S.R.L. sanción administrativa de inhabilitación temporal por el periodo de diez (10) meses en sus derechos de participar en procesos de selección y contratar con el Estado, por la comisión de la infracción tipificada en el numeral 10) del artículo 294 del Reglamento de la Ley de </w:t>
      </w:r>
      <w:r w:rsidRPr="008A0308">
        <w:rPr>
          <w:rFonts w:ascii="Tahoma" w:hAnsi="Tahoma" w:cs="Tahoma"/>
          <w:sz w:val="21"/>
          <w:szCs w:val="21"/>
        </w:rPr>
        <w:lastRenderedPageBreak/>
        <w:t>Contrataciones y Adquisiciones del Estado, aprobado por Decreto Supremo № 084-2004-PCM, la cual entrará en vigencia a partir del sexto de día de notificada la presente Resolución.</w:t>
      </w:r>
    </w:p>
    <w:p w:rsidR="008A0308" w:rsidRPr="008A0308" w:rsidRDefault="008A0308" w:rsidP="008A0308">
      <w:pPr>
        <w:tabs>
          <w:tab w:val="left" w:pos="360"/>
        </w:tabs>
        <w:jc w:val="both"/>
        <w:rPr>
          <w:rFonts w:ascii="Tahoma" w:hAnsi="Tahoma" w:cs="Tahoma"/>
          <w:sz w:val="21"/>
          <w:szCs w:val="21"/>
        </w:rPr>
      </w:pPr>
    </w:p>
    <w:p w:rsidR="008A0308" w:rsidRPr="008A0308" w:rsidRDefault="008A0308" w:rsidP="008A0308">
      <w:pPr>
        <w:numPr>
          <w:ilvl w:val="0"/>
          <w:numId w:val="20"/>
        </w:numPr>
        <w:tabs>
          <w:tab w:val="clear" w:pos="720"/>
          <w:tab w:val="left" w:pos="0"/>
        </w:tabs>
        <w:ind w:left="567" w:hanging="567"/>
        <w:jc w:val="both"/>
        <w:rPr>
          <w:rFonts w:ascii="Tahoma" w:hAnsi="Tahoma" w:cs="Tahoma"/>
          <w:b/>
          <w:sz w:val="21"/>
          <w:szCs w:val="21"/>
        </w:rPr>
      </w:pPr>
      <w:r w:rsidRPr="008A0308">
        <w:rPr>
          <w:rFonts w:ascii="Tahoma" w:hAnsi="Tahoma" w:cs="Tahoma"/>
          <w:sz w:val="21"/>
          <w:szCs w:val="21"/>
        </w:rPr>
        <w:t>Poner la presente Resolución en conocimiento de la Subdirección del Registro Nacional de Proveedores del Organismo Superior de Contrataciones  del Estado (OSCE), para las anotaciones de Ley.</w:t>
      </w:r>
    </w:p>
    <w:p w:rsidR="008A0308" w:rsidRPr="008A0308" w:rsidRDefault="008A0308" w:rsidP="008A0308">
      <w:pPr>
        <w:pStyle w:val="Prrafodelista"/>
        <w:rPr>
          <w:rFonts w:ascii="Tahoma" w:hAnsi="Tahoma" w:cs="Tahoma"/>
          <w:b/>
          <w:sz w:val="21"/>
          <w:szCs w:val="21"/>
        </w:rPr>
      </w:pPr>
    </w:p>
    <w:p w:rsidR="008A0308" w:rsidRPr="008A0308" w:rsidRDefault="008A0308" w:rsidP="008A0308">
      <w:pPr>
        <w:numPr>
          <w:ilvl w:val="0"/>
          <w:numId w:val="20"/>
        </w:numPr>
        <w:tabs>
          <w:tab w:val="clear" w:pos="720"/>
          <w:tab w:val="left" w:pos="0"/>
        </w:tabs>
        <w:ind w:left="567" w:hanging="567"/>
        <w:jc w:val="both"/>
        <w:rPr>
          <w:rFonts w:ascii="Tahoma" w:hAnsi="Tahoma" w:cs="Tahoma"/>
          <w:b/>
          <w:sz w:val="21"/>
          <w:szCs w:val="21"/>
        </w:rPr>
      </w:pPr>
      <w:r w:rsidRPr="008A0308">
        <w:rPr>
          <w:rFonts w:ascii="Tahoma" w:hAnsi="Tahoma" w:cs="Tahoma"/>
          <w:sz w:val="21"/>
          <w:szCs w:val="21"/>
        </w:rPr>
        <w:t xml:space="preserve">Poner en conocimiento de la Presidencia Ejecutiva del Organismo Superior de Contrataciones del Estado (OSCE) los hechos expuestos, a fin que en uso de sus atribuciones adopte las medidas pertinentes. </w:t>
      </w:r>
    </w:p>
    <w:p w:rsidR="008A0308" w:rsidRPr="008A0308" w:rsidRDefault="008A0308" w:rsidP="008A0308">
      <w:pPr>
        <w:pStyle w:val="Prrafodelista"/>
        <w:rPr>
          <w:rFonts w:ascii="Tahoma" w:hAnsi="Tahoma" w:cs="Tahoma"/>
          <w:b/>
          <w:sz w:val="21"/>
          <w:szCs w:val="21"/>
        </w:rPr>
      </w:pPr>
    </w:p>
    <w:p w:rsidR="008A0308" w:rsidRPr="008A0308" w:rsidRDefault="008A0308" w:rsidP="008A0308">
      <w:pPr>
        <w:numPr>
          <w:ilvl w:val="0"/>
          <w:numId w:val="20"/>
        </w:numPr>
        <w:tabs>
          <w:tab w:val="clear" w:pos="720"/>
          <w:tab w:val="left" w:pos="0"/>
        </w:tabs>
        <w:ind w:left="567" w:hanging="567"/>
        <w:jc w:val="both"/>
        <w:rPr>
          <w:rFonts w:ascii="Tahoma" w:hAnsi="Tahoma" w:cs="Tahoma"/>
          <w:sz w:val="21"/>
          <w:szCs w:val="21"/>
        </w:rPr>
      </w:pPr>
      <w:r w:rsidRPr="008A0308">
        <w:rPr>
          <w:rFonts w:ascii="Tahoma" w:hAnsi="Tahoma" w:cs="Tahoma"/>
          <w:sz w:val="21"/>
          <w:szCs w:val="21"/>
        </w:rPr>
        <w:t>Poner la presente Resolución en conocimiento del Ministerio Público, a efectos de que se formalice las acciones judiciales que correspondan.</w:t>
      </w:r>
    </w:p>
    <w:p w:rsidR="008A0308" w:rsidRPr="008A0308" w:rsidRDefault="008A0308" w:rsidP="008A0308">
      <w:pPr>
        <w:ind w:left="567"/>
        <w:jc w:val="both"/>
        <w:rPr>
          <w:rFonts w:ascii="Tahoma" w:hAnsi="Tahoma" w:cs="Tahoma"/>
          <w:sz w:val="21"/>
          <w:szCs w:val="21"/>
        </w:rPr>
      </w:pPr>
    </w:p>
    <w:p w:rsidR="00F31A7A" w:rsidRPr="008A0308" w:rsidRDefault="00F31A7A" w:rsidP="00F31A7A">
      <w:pPr>
        <w:pStyle w:val="NormalWeb"/>
        <w:spacing w:before="0" w:beforeAutospacing="0" w:after="0" w:afterAutospacing="0"/>
        <w:ind w:left="567"/>
        <w:jc w:val="both"/>
        <w:rPr>
          <w:rFonts w:ascii="Tahoma" w:hAnsi="Tahoma" w:cs="Tahoma"/>
          <w:sz w:val="21"/>
          <w:szCs w:val="21"/>
        </w:rPr>
      </w:pPr>
    </w:p>
    <w:p w:rsidR="00F31A7A" w:rsidRPr="008A0308" w:rsidRDefault="00F31A7A" w:rsidP="00F31A7A">
      <w:pPr>
        <w:pStyle w:val="Textoindependiente21"/>
        <w:ind w:firstLine="540"/>
        <w:rPr>
          <w:rFonts w:cs="Tahoma"/>
          <w:sz w:val="21"/>
          <w:szCs w:val="21"/>
        </w:rPr>
      </w:pPr>
      <w:r w:rsidRPr="008A0308">
        <w:rPr>
          <w:rFonts w:cs="Tahoma"/>
          <w:sz w:val="21"/>
          <w:szCs w:val="21"/>
        </w:rPr>
        <w:t>Regístrese, comuníquese y publíquese.</w:t>
      </w:r>
    </w:p>
    <w:p w:rsidR="00F31A7A" w:rsidRPr="008A0308" w:rsidRDefault="00F31A7A" w:rsidP="00F31A7A">
      <w:pPr>
        <w:ind w:left="720"/>
        <w:rPr>
          <w:rFonts w:ascii="Tahoma" w:hAnsi="Tahoma" w:cs="Tahoma"/>
          <w:b/>
          <w:bCs/>
          <w:shadow/>
          <w:sz w:val="21"/>
          <w:szCs w:val="21"/>
        </w:rPr>
      </w:pPr>
    </w:p>
    <w:p w:rsidR="00F31A7A" w:rsidRPr="008A0308" w:rsidRDefault="00F31A7A" w:rsidP="00F31A7A">
      <w:pPr>
        <w:ind w:left="720"/>
        <w:rPr>
          <w:rFonts w:ascii="Tahoma" w:hAnsi="Tahoma" w:cs="Tahoma"/>
          <w:b/>
          <w:bCs/>
          <w:shadow/>
          <w:sz w:val="21"/>
          <w:szCs w:val="21"/>
        </w:rPr>
      </w:pPr>
    </w:p>
    <w:p w:rsidR="008A0308" w:rsidRPr="008A0308" w:rsidRDefault="008A0308" w:rsidP="00F31A7A">
      <w:pPr>
        <w:ind w:left="720"/>
        <w:rPr>
          <w:rFonts w:ascii="Tahoma" w:hAnsi="Tahoma" w:cs="Tahoma"/>
          <w:b/>
          <w:bCs/>
          <w:shadow/>
          <w:sz w:val="21"/>
          <w:szCs w:val="21"/>
        </w:rPr>
      </w:pPr>
    </w:p>
    <w:p w:rsidR="008A0308" w:rsidRPr="008A0308" w:rsidRDefault="008A0308" w:rsidP="00F31A7A">
      <w:pPr>
        <w:ind w:left="720"/>
        <w:rPr>
          <w:rFonts w:ascii="Tahoma" w:hAnsi="Tahoma" w:cs="Tahoma"/>
          <w:b/>
          <w:bCs/>
          <w:shadow/>
          <w:sz w:val="21"/>
          <w:szCs w:val="21"/>
        </w:rPr>
      </w:pPr>
    </w:p>
    <w:p w:rsidR="008A0308" w:rsidRPr="008A0308" w:rsidRDefault="008A0308" w:rsidP="00F31A7A">
      <w:pPr>
        <w:ind w:left="720"/>
        <w:rPr>
          <w:rFonts w:ascii="Tahoma" w:hAnsi="Tahoma" w:cs="Tahoma"/>
          <w:b/>
          <w:bCs/>
          <w:shadow/>
          <w:sz w:val="21"/>
          <w:szCs w:val="21"/>
        </w:rPr>
      </w:pPr>
    </w:p>
    <w:p w:rsidR="008A0308" w:rsidRPr="008A0308" w:rsidRDefault="008A0308" w:rsidP="00F31A7A">
      <w:pPr>
        <w:ind w:left="720"/>
        <w:rPr>
          <w:rFonts w:ascii="Tahoma" w:hAnsi="Tahoma" w:cs="Tahoma"/>
          <w:b/>
          <w:bCs/>
          <w:shadow/>
          <w:sz w:val="21"/>
          <w:szCs w:val="21"/>
        </w:rPr>
      </w:pPr>
    </w:p>
    <w:p w:rsidR="00190839" w:rsidRPr="008A0308" w:rsidRDefault="00190839" w:rsidP="00F31A7A">
      <w:pPr>
        <w:ind w:left="720"/>
        <w:rPr>
          <w:rFonts w:ascii="Tahoma" w:hAnsi="Tahoma" w:cs="Tahoma"/>
          <w:b/>
          <w:bCs/>
          <w:shadow/>
          <w:sz w:val="21"/>
          <w:szCs w:val="21"/>
        </w:rPr>
      </w:pPr>
    </w:p>
    <w:p w:rsidR="003B3C54" w:rsidRPr="008A0308" w:rsidRDefault="003B3C54" w:rsidP="00F31A7A">
      <w:pPr>
        <w:ind w:left="720"/>
        <w:rPr>
          <w:rFonts w:ascii="Tahoma" w:hAnsi="Tahoma" w:cs="Tahoma"/>
          <w:b/>
          <w:bCs/>
          <w:shadow/>
          <w:sz w:val="21"/>
          <w:szCs w:val="21"/>
        </w:rPr>
      </w:pPr>
    </w:p>
    <w:p w:rsidR="00D93ED4" w:rsidRPr="008A0308" w:rsidRDefault="00D93ED4" w:rsidP="00F31A7A">
      <w:pPr>
        <w:ind w:left="720"/>
        <w:rPr>
          <w:rFonts w:ascii="Tahoma" w:hAnsi="Tahoma" w:cs="Tahoma"/>
          <w:b/>
          <w:bCs/>
          <w:shadow/>
          <w:sz w:val="21"/>
          <w:szCs w:val="21"/>
        </w:rPr>
      </w:pPr>
    </w:p>
    <w:p w:rsidR="00F31A7A" w:rsidRPr="008A0308" w:rsidRDefault="00F31A7A" w:rsidP="00F31A7A">
      <w:pPr>
        <w:jc w:val="center"/>
        <w:rPr>
          <w:rFonts w:ascii="Tahoma" w:hAnsi="Tahoma" w:cs="Tahoma"/>
          <w:b/>
          <w:bCs/>
          <w:shadow/>
          <w:sz w:val="21"/>
          <w:szCs w:val="21"/>
        </w:rPr>
      </w:pPr>
      <w:r w:rsidRPr="008A0308">
        <w:rPr>
          <w:rFonts w:ascii="Tahoma" w:hAnsi="Tahoma" w:cs="Tahoma"/>
          <w:b/>
          <w:bCs/>
          <w:shadow/>
          <w:sz w:val="21"/>
          <w:szCs w:val="21"/>
        </w:rPr>
        <w:t>PRESIDENTE</w:t>
      </w:r>
    </w:p>
    <w:p w:rsidR="00F31A7A" w:rsidRPr="008A0308" w:rsidRDefault="00F31A7A" w:rsidP="00F31A7A">
      <w:pPr>
        <w:jc w:val="center"/>
        <w:rPr>
          <w:rFonts w:ascii="Tahoma" w:hAnsi="Tahoma" w:cs="Tahoma"/>
          <w:b/>
          <w:bCs/>
          <w:shadow/>
          <w:sz w:val="21"/>
          <w:szCs w:val="21"/>
        </w:rPr>
      </w:pPr>
    </w:p>
    <w:p w:rsidR="00F31A7A" w:rsidRPr="008A0308" w:rsidRDefault="00F31A7A" w:rsidP="00F31A7A">
      <w:pPr>
        <w:jc w:val="center"/>
        <w:rPr>
          <w:rFonts w:ascii="Tahoma" w:hAnsi="Tahoma" w:cs="Tahoma"/>
          <w:b/>
          <w:bCs/>
          <w:shadow/>
          <w:sz w:val="21"/>
          <w:szCs w:val="21"/>
        </w:rPr>
      </w:pPr>
    </w:p>
    <w:p w:rsidR="00F31A7A" w:rsidRPr="008A0308" w:rsidRDefault="00F31A7A" w:rsidP="00F31A7A">
      <w:pPr>
        <w:jc w:val="center"/>
        <w:rPr>
          <w:rFonts w:ascii="Tahoma" w:hAnsi="Tahoma" w:cs="Tahoma"/>
          <w:b/>
          <w:bCs/>
          <w:shadow/>
          <w:sz w:val="21"/>
          <w:szCs w:val="21"/>
        </w:rPr>
      </w:pPr>
    </w:p>
    <w:p w:rsidR="00F31A7A" w:rsidRPr="008A0308" w:rsidRDefault="00F31A7A" w:rsidP="00F31A7A">
      <w:pPr>
        <w:jc w:val="center"/>
        <w:rPr>
          <w:rFonts w:ascii="Tahoma" w:hAnsi="Tahoma" w:cs="Tahoma"/>
          <w:b/>
          <w:shadow/>
          <w:sz w:val="21"/>
          <w:szCs w:val="21"/>
        </w:rPr>
      </w:pPr>
      <w:r w:rsidRPr="008A0308">
        <w:rPr>
          <w:rFonts w:ascii="Tahoma" w:hAnsi="Tahoma" w:cs="Tahoma"/>
          <w:b/>
          <w:shadow/>
          <w:sz w:val="21"/>
          <w:szCs w:val="21"/>
        </w:rPr>
        <w:t xml:space="preserve">VOCAL           </w:t>
      </w:r>
      <w:r w:rsidRPr="008A0308">
        <w:rPr>
          <w:rFonts w:ascii="Tahoma" w:hAnsi="Tahoma" w:cs="Tahoma"/>
          <w:b/>
          <w:shadow/>
          <w:sz w:val="21"/>
          <w:szCs w:val="21"/>
        </w:rPr>
        <w:tab/>
      </w:r>
      <w:r w:rsidRPr="008A0308">
        <w:rPr>
          <w:rFonts w:ascii="Tahoma" w:hAnsi="Tahoma" w:cs="Tahoma"/>
          <w:b/>
          <w:shadow/>
          <w:sz w:val="21"/>
          <w:szCs w:val="21"/>
        </w:rPr>
        <w:tab/>
        <w:t xml:space="preserve">                                                                VOCAL</w:t>
      </w:r>
    </w:p>
    <w:p w:rsidR="00F31A7A" w:rsidRPr="008A0308" w:rsidRDefault="00F31A7A" w:rsidP="00F31A7A">
      <w:pPr>
        <w:jc w:val="center"/>
        <w:rPr>
          <w:rFonts w:ascii="Tahoma" w:hAnsi="Tahoma" w:cs="Tahoma"/>
          <w:shadow/>
          <w:sz w:val="21"/>
          <w:szCs w:val="21"/>
        </w:rPr>
      </w:pPr>
    </w:p>
    <w:p w:rsidR="00F31A7A" w:rsidRPr="008A0308" w:rsidRDefault="00F31A7A" w:rsidP="00F31A7A">
      <w:pPr>
        <w:rPr>
          <w:rFonts w:ascii="Tahoma" w:hAnsi="Tahoma" w:cs="Tahoma"/>
          <w:shadow/>
          <w:sz w:val="21"/>
          <w:szCs w:val="21"/>
        </w:rPr>
      </w:pPr>
    </w:p>
    <w:p w:rsidR="00F31A7A" w:rsidRPr="008A0308" w:rsidRDefault="00F31A7A" w:rsidP="00F31A7A">
      <w:pPr>
        <w:jc w:val="both"/>
        <w:rPr>
          <w:rFonts w:ascii="Tahoma" w:hAnsi="Tahoma" w:cs="Tahoma"/>
          <w:sz w:val="21"/>
          <w:szCs w:val="21"/>
        </w:rPr>
      </w:pPr>
      <w:r w:rsidRPr="008A0308">
        <w:rPr>
          <w:rFonts w:ascii="Tahoma" w:hAnsi="Tahoma" w:cs="Tahoma"/>
          <w:sz w:val="21"/>
          <w:szCs w:val="21"/>
        </w:rPr>
        <w:t>ss.</w:t>
      </w:r>
    </w:p>
    <w:p w:rsidR="008A0308" w:rsidRPr="008A0308" w:rsidRDefault="008A0308" w:rsidP="008A0308">
      <w:pPr>
        <w:jc w:val="both"/>
        <w:rPr>
          <w:rFonts w:ascii="Tahoma" w:hAnsi="Tahoma" w:cs="Tahoma"/>
          <w:sz w:val="21"/>
          <w:szCs w:val="21"/>
        </w:rPr>
      </w:pPr>
      <w:r w:rsidRPr="008A0308">
        <w:rPr>
          <w:rFonts w:ascii="Tahoma" w:hAnsi="Tahoma" w:cs="Tahoma"/>
          <w:sz w:val="21"/>
          <w:szCs w:val="21"/>
        </w:rPr>
        <w:t>Navas Rondón</w:t>
      </w:r>
    </w:p>
    <w:p w:rsidR="008A0308" w:rsidRPr="008A0308" w:rsidRDefault="008A0308" w:rsidP="008A0308">
      <w:pPr>
        <w:jc w:val="both"/>
        <w:rPr>
          <w:rFonts w:ascii="Tahoma" w:hAnsi="Tahoma" w:cs="Tahoma"/>
          <w:color w:val="000000"/>
          <w:sz w:val="21"/>
          <w:szCs w:val="21"/>
        </w:rPr>
      </w:pPr>
      <w:r w:rsidRPr="008A0308">
        <w:rPr>
          <w:rFonts w:ascii="Tahoma" w:hAnsi="Tahoma" w:cs="Tahoma"/>
          <w:color w:val="000000"/>
          <w:sz w:val="21"/>
          <w:szCs w:val="21"/>
        </w:rPr>
        <w:t xml:space="preserve">Ramírez Maynetto </w:t>
      </w:r>
    </w:p>
    <w:p w:rsidR="003B3C54" w:rsidRPr="008A0308" w:rsidRDefault="008A0308" w:rsidP="008A0308">
      <w:pPr>
        <w:jc w:val="both"/>
        <w:rPr>
          <w:rFonts w:ascii="Tahoma" w:hAnsi="Tahoma" w:cs="Tahoma"/>
          <w:sz w:val="21"/>
          <w:szCs w:val="21"/>
        </w:rPr>
      </w:pPr>
      <w:r w:rsidRPr="008A0308">
        <w:rPr>
          <w:rFonts w:ascii="Tahoma" w:hAnsi="Tahoma" w:cs="Tahoma"/>
          <w:sz w:val="21"/>
          <w:szCs w:val="21"/>
        </w:rPr>
        <w:t>Basulto Liewald</w:t>
      </w:r>
    </w:p>
    <w:sectPr w:rsidR="003B3C54" w:rsidRPr="008A0308" w:rsidSect="0038791B">
      <w:headerReference w:type="default" r:id="rId7"/>
      <w:footerReference w:type="default" r:id="rId8"/>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5A2" w:rsidRDefault="00E745A2" w:rsidP="00F31A7A">
      <w:r>
        <w:separator/>
      </w:r>
    </w:p>
  </w:endnote>
  <w:endnote w:type="continuationSeparator" w:id="1">
    <w:p w:rsidR="00E745A2" w:rsidRDefault="00E745A2" w:rsidP="00F31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B8" w:rsidRPr="00D64584" w:rsidRDefault="00AD7110" w:rsidP="00D64584">
    <w:pPr>
      <w:pStyle w:val="Piedepgina"/>
      <w:jc w:val="center"/>
      <w:rPr>
        <w:i/>
        <w:sz w:val="20"/>
        <w:szCs w:val="20"/>
      </w:rPr>
    </w:pPr>
    <w:r w:rsidRPr="00D64584">
      <w:rPr>
        <w:i/>
        <w:sz w:val="20"/>
        <w:szCs w:val="20"/>
      </w:rPr>
      <w:t xml:space="preserve">Página </w:t>
    </w:r>
    <w:r w:rsidR="00ED3B69" w:rsidRPr="00D64584">
      <w:rPr>
        <w:i/>
        <w:sz w:val="20"/>
        <w:szCs w:val="20"/>
      </w:rPr>
      <w:fldChar w:fldCharType="begin"/>
    </w:r>
    <w:r w:rsidRPr="00D64584">
      <w:rPr>
        <w:i/>
        <w:sz w:val="20"/>
        <w:szCs w:val="20"/>
      </w:rPr>
      <w:instrText xml:space="preserve"> PAGE </w:instrText>
    </w:r>
    <w:r w:rsidR="00ED3B69" w:rsidRPr="00D64584">
      <w:rPr>
        <w:i/>
        <w:sz w:val="20"/>
        <w:szCs w:val="20"/>
      </w:rPr>
      <w:fldChar w:fldCharType="separate"/>
    </w:r>
    <w:r w:rsidR="00A472E6">
      <w:rPr>
        <w:i/>
        <w:noProof/>
        <w:sz w:val="20"/>
        <w:szCs w:val="20"/>
      </w:rPr>
      <w:t>1</w:t>
    </w:r>
    <w:r w:rsidR="00ED3B69" w:rsidRPr="00D64584">
      <w:rPr>
        <w:i/>
        <w:sz w:val="20"/>
        <w:szCs w:val="20"/>
      </w:rPr>
      <w:fldChar w:fldCharType="end"/>
    </w:r>
    <w:r w:rsidRPr="00D64584">
      <w:rPr>
        <w:i/>
        <w:sz w:val="20"/>
        <w:szCs w:val="20"/>
      </w:rPr>
      <w:t xml:space="preserve"> de </w:t>
    </w:r>
    <w:r w:rsidR="00ED3B69" w:rsidRPr="00D64584">
      <w:rPr>
        <w:i/>
        <w:sz w:val="20"/>
        <w:szCs w:val="20"/>
      </w:rPr>
      <w:fldChar w:fldCharType="begin"/>
    </w:r>
    <w:r w:rsidRPr="00D64584">
      <w:rPr>
        <w:i/>
        <w:sz w:val="20"/>
        <w:szCs w:val="20"/>
      </w:rPr>
      <w:instrText xml:space="preserve"> NUMPAGES </w:instrText>
    </w:r>
    <w:r w:rsidR="00ED3B69" w:rsidRPr="00D64584">
      <w:rPr>
        <w:i/>
        <w:sz w:val="20"/>
        <w:szCs w:val="20"/>
      </w:rPr>
      <w:fldChar w:fldCharType="separate"/>
    </w:r>
    <w:r w:rsidR="00A472E6">
      <w:rPr>
        <w:i/>
        <w:noProof/>
        <w:sz w:val="20"/>
        <w:szCs w:val="20"/>
      </w:rPr>
      <w:t>8</w:t>
    </w:r>
    <w:r w:rsidR="00ED3B69" w:rsidRPr="00D64584">
      <w:rP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5A2" w:rsidRDefault="00E745A2" w:rsidP="00F31A7A">
      <w:r>
        <w:separator/>
      </w:r>
    </w:p>
  </w:footnote>
  <w:footnote w:type="continuationSeparator" w:id="1">
    <w:p w:rsidR="00E745A2" w:rsidRDefault="00E745A2" w:rsidP="00F31A7A">
      <w:r>
        <w:continuationSeparator/>
      </w:r>
    </w:p>
  </w:footnote>
  <w:footnote w:id="2">
    <w:p w:rsidR="008A0308" w:rsidRPr="00616064" w:rsidRDefault="008A0308" w:rsidP="008A0308">
      <w:pPr>
        <w:pStyle w:val="Textonotapie"/>
        <w:jc w:val="both"/>
        <w:rPr>
          <w:rFonts w:ascii="Tahoma" w:hAnsi="Tahoma" w:cs="Tahoma"/>
          <w:b/>
          <w:sz w:val="16"/>
          <w:szCs w:val="16"/>
        </w:rPr>
      </w:pPr>
      <w:r w:rsidRPr="00616064">
        <w:rPr>
          <w:rStyle w:val="Refdenotaalpie"/>
          <w:rFonts w:eastAsia="Batang"/>
          <w:sz w:val="16"/>
          <w:szCs w:val="16"/>
        </w:rPr>
        <w:footnoteRef/>
      </w:r>
      <w:r w:rsidRPr="00616064">
        <w:rPr>
          <w:sz w:val="16"/>
          <w:szCs w:val="16"/>
        </w:rPr>
        <w:t xml:space="preserve"> </w:t>
      </w:r>
      <w:r w:rsidRPr="00616064">
        <w:rPr>
          <w:rFonts w:ascii="Tahoma" w:hAnsi="Tahoma" w:cs="Tahoma"/>
          <w:b/>
          <w:sz w:val="16"/>
          <w:szCs w:val="16"/>
        </w:rPr>
        <w:t>Artículo 294.- Causales de aplicación de sanción a los proveedores, participantes, postores y contratistas</w:t>
      </w:r>
    </w:p>
    <w:p w:rsidR="008A0308" w:rsidRPr="00616064" w:rsidRDefault="008A0308" w:rsidP="008A0308">
      <w:pPr>
        <w:pStyle w:val="Textonotapie"/>
        <w:jc w:val="both"/>
        <w:rPr>
          <w:rFonts w:ascii="Tahoma" w:hAnsi="Tahoma" w:cs="Tahoma"/>
          <w:sz w:val="16"/>
          <w:szCs w:val="16"/>
        </w:rPr>
      </w:pPr>
      <w:r w:rsidRPr="00616064">
        <w:rPr>
          <w:rFonts w:ascii="Tahoma" w:hAnsi="Tahoma" w:cs="Tahoma"/>
          <w:sz w:val="16"/>
          <w:szCs w:val="16"/>
        </w:rPr>
        <w:t>El Tribunal impondrá la sanción administrativa de inhabilitación temporal o definitiva a los proveedores, participantes, postores y/o contratistas que:</w:t>
      </w:r>
    </w:p>
    <w:p w:rsidR="008A0308" w:rsidRPr="00616064" w:rsidRDefault="008A0308" w:rsidP="008A0308">
      <w:pPr>
        <w:pStyle w:val="Textonotapie"/>
        <w:jc w:val="both"/>
        <w:rPr>
          <w:rFonts w:ascii="Tahoma" w:hAnsi="Tahoma" w:cs="Tahoma"/>
          <w:sz w:val="16"/>
          <w:szCs w:val="16"/>
        </w:rPr>
      </w:pPr>
      <w:r w:rsidRPr="00616064">
        <w:rPr>
          <w:rFonts w:ascii="Tahoma" w:hAnsi="Tahoma" w:cs="Tahoma"/>
          <w:sz w:val="16"/>
          <w:szCs w:val="16"/>
        </w:rPr>
        <w:t>(….)</w:t>
      </w:r>
    </w:p>
    <w:p w:rsidR="008A0308" w:rsidRPr="0069714F" w:rsidRDefault="008A0308" w:rsidP="008A0308">
      <w:pPr>
        <w:pStyle w:val="Textonotapie"/>
        <w:jc w:val="both"/>
        <w:rPr>
          <w:rFonts w:ascii="Tahoma" w:hAnsi="Tahoma" w:cs="Tahoma"/>
          <w:sz w:val="18"/>
          <w:szCs w:val="18"/>
        </w:rPr>
      </w:pPr>
      <w:r w:rsidRPr="00616064">
        <w:rPr>
          <w:rFonts w:ascii="Tahoma" w:hAnsi="Tahoma" w:cs="Tahoma"/>
          <w:sz w:val="16"/>
          <w:szCs w:val="16"/>
        </w:rPr>
        <w:t>10) Presenten documentos falsos o información inexacta en los procedimientos seguidos ante el Registro Nacional de Proveedores.</w:t>
      </w:r>
    </w:p>
  </w:footnote>
  <w:footnote w:id="3">
    <w:p w:rsidR="008A0308" w:rsidRPr="008A0308" w:rsidRDefault="008A0308" w:rsidP="008A0308">
      <w:pPr>
        <w:autoSpaceDE w:val="0"/>
        <w:autoSpaceDN w:val="0"/>
        <w:adjustRightInd w:val="0"/>
        <w:jc w:val="both"/>
        <w:rPr>
          <w:rFonts w:ascii="Tahoma" w:hAnsi="Tahoma" w:cs="Tahoma"/>
          <w:b/>
          <w:bCs/>
          <w:sz w:val="14"/>
          <w:szCs w:val="14"/>
        </w:rPr>
      </w:pPr>
      <w:r w:rsidRPr="008A0308">
        <w:rPr>
          <w:rStyle w:val="Refdenotaalpie"/>
          <w:rFonts w:ascii="Tahoma" w:hAnsi="Tahoma" w:cs="Tahoma"/>
          <w:sz w:val="14"/>
          <w:szCs w:val="14"/>
        </w:rPr>
        <w:footnoteRef/>
      </w:r>
      <w:r w:rsidRPr="008A0308">
        <w:rPr>
          <w:rFonts w:ascii="Tahoma" w:hAnsi="Tahoma" w:cs="Tahoma"/>
          <w:sz w:val="14"/>
          <w:szCs w:val="14"/>
        </w:rPr>
        <w:t xml:space="preserve"> </w:t>
      </w:r>
      <w:r w:rsidRPr="008A0308">
        <w:rPr>
          <w:rFonts w:ascii="Tahoma" w:hAnsi="Tahoma" w:cs="Tahoma"/>
          <w:b/>
          <w:bCs/>
          <w:sz w:val="14"/>
          <w:szCs w:val="14"/>
        </w:rPr>
        <w:t>Artículo 302.- Determinación gradual de la Sanción</w:t>
      </w:r>
    </w:p>
    <w:p w:rsidR="008A0308" w:rsidRPr="008A0308" w:rsidRDefault="008A0308" w:rsidP="008A0308">
      <w:pPr>
        <w:autoSpaceDE w:val="0"/>
        <w:autoSpaceDN w:val="0"/>
        <w:adjustRightInd w:val="0"/>
        <w:jc w:val="both"/>
        <w:rPr>
          <w:rFonts w:ascii="Tahoma" w:hAnsi="Tahoma" w:cs="Tahoma"/>
          <w:sz w:val="14"/>
          <w:szCs w:val="14"/>
        </w:rPr>
      </w:pPr>
      <w:r w:rsidRPr="008A0308">
        <w:rPr>
          <w:rFonts w:ascii="Tahoma" w:hAnsi="Tahoma" w:cs="Tahoma"/>
          <w:sz w:val="14"/>
          <w:szCs w:val="14"/>
        </w:rPr>
        <w:t>Para graduar la sanción a imponerse conforme a las disposiciones del presente Título, se considerarán los siguientes criterios:</w:t>
      </w:r>
    </w:p>
    <w:p w:rsidR="008A0308" w:rsidRPr="008A0308" w:rsidRDefault="008A0308" w:rsidP="008A0308">
      <w:pPr>
        <w:autoSpaceDE w:val="0"/>
        <w:autoSpaceDN w:val="0"/>
        <w:adjustRightInd w:val="0"/>
        <w:jc w:val="both"/>
        <w:rPr>
          <w:rFonts w:ascii="Tahoma" w:hAnsi="Tahoma" w:cs="Tahoma"/>
          <w:sz w:val="14"/>
          <w:szCs w:val="14"/>
        </w:rPr>
      </w:pPr>
      <w:r w:rsidRPr="008A0308">
        <w:rPr>
          <w:rFonts w:ascii="Tahoma" w:hAnsi="Tahoma" w:cs="Tahoma"/>
          <w:sz w:val="14"/>
          <w:szCs w:val="14"/>
        </w:rPr>
        <w:t>1) Naturaleza de la infracción.</w:t>
      </w:r>
    </w:p>
    <w:p w:rsidR="008A0308" w:rsidRPr="008A0308" w:rsidRDefault="008A0308" w:rsidP="008A0308">
      <w:pPr>
        <w:autoSpaceDE w:val="0"/>
        <w:autoSpaceDN w:val="0"/>
        <w:adjustRightInd w:val="0"/>
        <w:jc w:val="both"/>
        <w:rPr>
          <w:rFonts w:ascii="Tahoma" w:hAnsi="Tahoma" w:cs="Tahoma"/>
          <w:sz w:val="14"/>
          <w:szCs w:val="14"/>
        </w:rPr>
      </w:pPr>
      <w:r w:rsidRPr="008A0308">
        <w:rPr>
          <w:rFonts w:ascii="Tahoma" w:hAnsi="Tahoma" w:cs="Tahoma"/>
          <w:sz w:val="14"/>
          <w:szCs w:val="14"/>
        </w:rPr>
        <w:t>2) Intencionalidad del infractor.</w:t>
      </w:r>
    </w:p>
    <w:p w:rsidR="008A0308" w:rsidRPr="008A0308" w:rsidRDefault="008A0308" w:rsidP="008A0308">
      <w:pPr>
        <w:autoSpaceDE w:val="0"/>
        <w:autoSpaceDN w:val="0"/>
        <w:adjustRightInd w:val="0"/>
        <w:jc w:val="both"/>
        <w:rPr>
          <w:rFonts w:ascii="Tahoma" w:hAnsi="Tahoma" w:cs="Tahoma"/>
          <w:sz w:val="14"/>
          <w:szCs w:val="14"/>
        </w:rPr>
      </w:pPr>
      <w:r w:rsidRPr="008A0308">
        <w:rPr>
          <w:rFonts w:ascii="Tahoma" w:hAnsi="Tahoma" w:cs="Tahoma"/>
          <w:sz w:val="14"/>
          <w:szCs w:val="14"/>
        </w:rPr>
        <w:t>3) Daño causado.</w:t>
      </w:r>
    </w:p>
    <w:p w:rsidR="008A0308" w:rsidRPr="008A0308" w:rsidRDefault="008A0308" w:rsidP="008A0308">
      <w:pPr>
        <w:autoSpaceDE w:val="0"/>
        <w:autoSpaceDN w:val="0"/>
        <w:adjustRightInd w:val="0"/>
        <w:jc w:val="both"/>
        <w:rPr>
          <w:rFonts w:ascii="Tahoma" w:hAnsi="Tahoma" w:cs="Tahoma"/>
          <w:sz w:val="14"/>
          <w:szCs w:val="14"/>
        </w:rPr>
      </w:pPr>
      <w:r w:rsidRPr="008A0308">
        <w:rPr>
          <w:rFonts w:ascii="Tahoma" w:hAnsi="Tahoma" w:cs="Tahoma"/>
          <w:sz w:val="14"/>
          <w:szCs w:val="14"/>
        </w:rPr>
        <w:t>4) Reiterancia.</w:t>
      </w:r>
    </w:p>
    <w:p w:rsidR="008A0308" w:rsidRPr="008A0308" w:rsidRDefault="008A0308" w:rsidP="008A0308">
      <w:pPr>
        <w:autoSpaceDE w:val="0"/>
        <w:autoSpaceDN w:val="0"/>
        <w:adjustRightInd w:val="0"/>
        <w:jc w:val="both"/>
        <w:rPr>
          <w:rFonts w:ascii="Tahoma" w:hAnsi="Tahoma" w:cs="Tahoma"/>
          <w:sz w:val="14"/>
          <w:szCs w:val="14"/>
        </w:rPr>
      </w:pPr>
      <w:r w:rsidRPr="008A0308">
        <w:rPr>
          <w:rFonts w:ascii="Tahoma" w:hAnsi="Tahoma" w:cs="Tahoma"/>
          <w:sz w:val="14"/>
          <w:szCs w:val="14"/>
        </w:rPr>
        <w:t>5) El reconocimiento de la infracción cometida antes de que sea detectada.</w:t>
      </w:r>
    </w:p>
    <w:p w:rsidR="008A0308" w:rsidRPr="008A0308" w:rsidRDefault="008A0308" w:rsidP="008A0308">
      <w:pPr>
        <w:autoSpaceDE w:val="0"/>
        <w:autoSpaceDN w:val="0"/>
        <w:adjustRightInd w:val="0"/>
        <w:jc w:val="both"/>
        <w:rPr>
          <w:rFonts w:ascii="Tahoma" w:hAnsi="Tahoma" w:cs="Tahoma"/>
          <w:sz w:val="14"/>
          <w:szCs w:val="14"/>
        </w:rPr>
      </w:pPr>
      <w:r w:rsidRPr="008A0308">
        <w:rPr>
          <w:rFonts w:ascii="Tahoma" w:hAnsi="Tahoma" w:cs="Tahoma"/>
          <w:sz w:val="14"/>
          <w:szCs w:val="14"/>
        </w:rPr>
        <w:t>6) Circunstancias de tiempo, lugar y modo.</w:t>
      </w:r>
    </w:p>
    <w:p w:rsidR="008A0308" w:rsidRPr="008A0308" w:rsidRDefault="008A0308" w:rsidP="008A0308">
      <w:pPr>
        <w:autoSpaceDE w:val="0"/>
        <w:autoSpaceDN w:val="0"/>
        <w:adjustRightInd w:val="0"/>
        <w:jc w:val="both"/>
        <w:rPr>
          <w:rFonts w:ascii="Tahoma" w:hAnsi="Tahoma" w:cs="Tahoma"/>
          <w:sz w:val="14"/>
          <w:szCs w:val="14"/>
        </w:rPr>
      </w:pPr>
      <w:r w:rsidRPr="008A0308">
        <w:rPr>
          <w:rFonts w:ascii="Tahoma" w:hAnsi="Tahoma" w:cs="Tahoma"/>
          <w:sz w:val="14"/>
          <w:szCs w:val="14"/>
        </w:rPr>
        <w:t>7) Condiciones del infractor.</w:t>
      </w:r>
    </w:p>
    <w:p w:rsidR="008A0308" w:rsidRPr="008A0308" w:rsidRDefault="008A0308" w:rsidP="008A0308">
      <w:pPr>
        <w:autoSpaceDE w:val="0"/>
        <w:autoSpaceDN w:val="0"/>
        <w:adjustRightInd w:val="0"/>
        <w:jc w:val="both"/>
        <w:rPr>
          <w:rFonts w:ascii="Tahoma" w:hAnsi="Tahoma" w:cs="Tahoma"/>
          <w:sz w:val="14"/>
          <w:szCs w:val="14"/>
        </w:rPr>
      </w:pPr>
      <w:r w:rsidRPr="008A0308">
        <w:rPr>
          <w:rFonts w:ascii="Tahoma" w:hAnsi="Tahoma" w:cs="Tahoma"/>
          <w:sz w:val="14"/>
          <w:szCs w:val="14"/>
        </w:rPr>
        <w:t>8) Conducta procesal del infractor</w:t>
      </w:r>
    </w:p>
  </w:footnote>
  <w:footnote w:id="4">
    <w:p w:rsidR="008A0308" w:rsidRPr="00621875" w:rsidRDefault="008A0308" w:rsidP="008A0308">
      <w:pPr>
        <w:pStyle w:val="Encabezado"/>
        <w:tabs>
          <w:tab w:val="left" w:pos="0"/>
        </w:tabs>
        <w:jc w:val="both"/>
        <w:rPr>
          <w:b/>
          <w:sz w:val="16"/>
          <w:szCs w:val="16"/>
        </w:rPr>
      </w:pPr>
      <w:r w:rsidRPr="00621875">
        <w:rPr>
          <w:rStyle w:val="Refdenotaalpie"/>
          <w:sz w:val="16"/>
          <w:szCs w:val="16"/>
        </w:rPr>
        <w:footnoteRef/>
      </w:r>
      <w:r w:rsidRPr="00621875">
        <w:rPr>
          <w:sz w:val="16"/>
          <w:szCs w:val="16"/>
        </w:rPr>
        <w:t xml:space="preserve"> </w:t>
      </w:r>
      <w:r w:rsidRPr="00621875">
        <w:rPr>
          <w:b/>
          <w:sz w:val="16"/>
          <w:szCs w:val="16"/>
        </w:rPr>
        <w:t>Articulo 427.- Falsificación de documentos</w:t>
      </w:r>
    </w:p>
    <w:p w:rsidR="008A0308" w:rsidRPr="007A67C7" w:rsidRDefault="008A0308" w:rsidP="008A0308">
      <w:pPr>
        <w:pStyle w:val="Encabezado"/>
        <w:tabs>
          <w:tab w:val="left" w:pos="0"/>
        </w:tabs>
        <w:jc w:val="both"/>
        <w:rPr>
          <w:rFonts w:ascii="Tahoma" w:hAnsi="Tahoma" w:cs="Tahoma"/>
          <w:i/>
        </w:rPr>
      </w:pPr>
      <w:r w:rsidRPr="00621875">
        <w:rPr>
          <w:i/>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E6" w:rsidRDefault="00A472E6" w:rsidP="00A472E6">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A472E6" w:rsidRDefault="00A472E6" w:rsidP="00A472E6">
    <w:pPr>
      <w:pStyle w:val="Encabezado"/>
      <w:rPr>
        <w:noProof/>
      </w:rPr>
    </w:pPr>
  </w:p>
  <w:p w:rsidR="00A472E6" w:rsidRDefault="00A472E6" w:rsidP="00A472E6">
    <w:pPr>
      <w:pStyle w:val="Encabezado"/>
      <w:rPr>
        <w:noProof/>
      </w:rPr>
    </w:pPr>
  </w:p>
  <w:p w:rsidR="00A472E6" w:rsidRDefault="00A472E6" w:rsidP="00A472E6">
    <w:pPr>
      <w:pStyle w:val="Encabezado"/>
      <w:rPr>
        <w:noProof/>
      </w:rPr>
    </w:pPr>
  </w:p>
  <w:p w:rsidR="00A472E6" w:rsidRDefault="00A472E6" w:rsidP="00A472E6">
    <w:pPr>
      <w:pStyle w:val="Encabezado"/>
      <w:jc w:val="center"/>
    </w:pPr>
    <w:r>
      <w:rPr>
        <w:rFonts w:ascii="Monotype Corsiva" w:hAnsi="Monotype Corsiva"/>
        <w:b/>
        <w:sz w:val="44"/>
        <w:szCs w:val="44"/>
      </w:rPr>
      <w:t xml:space="preserve">Resolución Nº   </w:t>
    </w:r>
    <w:r>
      <w:rPr>
        <w:rFonts w:ascii="Tahoma" w:hAnsi="Tahoma" w:cs="Tahoma"/>
        <w:b/>
        <w:sz w:val="44"/>
        <w:szCs w:val="44"/>
      </w:rPr>
      <w:t>447-2011-TC-S1</w:t>
    </w:r>
  </w:p>
  <w:p w:rsidR="00A472E6" w:rsidRDefault="00A472E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8E5AC7"/>
    <w:multiLevelType w:val="hybridMultilevel"/>
    <w:tmpl w:val="5D74B5FA"/>
    <w:lvl w:ilvl="0" w:tplc="C9A2E41C">
      <w:start w:val="1"/>
      <w:numFmt w:val="decimal"/>
      <w:lvlText w:val="%1."/>
      <w:lvlJc w:val="left"/>
      <w:pPr>
        <w:tabs>
          <w:tab w:val="num" w:pos="720"/>
        </w:tabs>
        <w:ind w:left="720" w:hanging="360"/>
      </w:pPr>
      <w:rPr>
        <w:b/>
        <w:sz w:val="20"/>
        <w:szCs w:val="20"/>
        <w:lang w:val="es-ES_tradnl"/>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4957FE5"/>
    <w:multiLevelType w:val="hybridMultilevel"/>
    <w:tmpl w:val="A1AE25D2"/>
    <w:lvl w:ilvl="0" w:tplc="A5705B54">
      <w:start w:val="1"/>
      <w:numFmt w:val="lowerRoman"/>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BC52A45"/>
    <w:multiLevelType w:val="hybridMultilevel"/>
    <w:tmpl w:val="9E1AF476"/>
    <w:lvl w:ilvl="0" w:tplc="A782BD50">
      <w:start w:val="1"/>
      <w:numFmt w:val="decimal"/>
      <w:lvlText w:val="%1."/>
      <w:lvlJc w:val="left"/>
      <w:pPr>
        <w:tabs>
          <w:tab w:val="num" w:pos="720"/>
        </w:tabs>
        <w:ind w:left="720" w:hanging="360"/>
      </w:pPr>
      <w:rPr>
        <w:rFonts w:hint="default"/>
      </w:rPr>
    </w:lvl>
    <w:lvl w:ilvl="1" w:tplc="970E7914">
      <w:start w:val="1"/>
      <w:numFmt w:val="decimal"/>
      <w:isLgl/>
      <w:lvlText w:val="%2."/>
      <w:lvlJc w:val="left"/>
      <w:pPr>
        <w:tabs>
          <w:tab w:val="num" w:pos="720"/>
        </w:tabs>
        <w:ind w:left="720" w:hanging="360"/>
      </w:pPr>
      <w:rPr>
        <w:rFonts w:ascii="Tahoma" w:eastAsia="Times New Roman" w:hAnsi="Tahoma" w:cs="Tahoma" w:hint="default"/>
        <w:b/>
        <w:lang w:val="es-ES"/>
      </w:rPr>
    </w:lvl>
    <w:lvl w:ilvl="2" w:tplc="A454C92E">
      <w:numFmt w:val="none"/>
      <w:lvlText w:val=""/>
      <w:lvlJc w:val="left"/>
      <w:pPr>
        <w:tabs>
          <w:tab w:val="num" w:pos="360"/>
        </w:tabs>
      </w:pPr>
    </w:lvl>
    <w:lvl w:ilvl="3" w:tplc="871A521E">
      <w:numFmt w:val="none"/>
      <w:lvlText w:val=""/>
      <w:lvlJc w:val="left"/>
      <w:pPr>
        <w:tabs>
          <w:tab w:val="num" w:pos="360"/>
        </w:tabs>
      </w:pPr>
    </w:lvl>
    <w:lvl w:ilvl="4" w:tplc="C20494B0">
      <w:numFmt w:val="none"/>
      <w:lvlText w:val=""/>
      <w:lvlJc w:val="left"/>
      <w:pPr>
        <w:tabs>
          <w:tab w:val="num" w:pos="360"/>
        </w:tabs>
      </w:pPr>
    </w:lvl>
    <w:lvl w:ilvl="5" w:tplc="907EB3E4">
      <w:numFmt w:val="none"/>
      <w:lvlText w:val=""/>
      <w:lvlJc w:val="left"/>
      <w:pPr>
        <w:tabs>
          <w:tab w:val="num" w:pos="360"/>
        </w:tabs>
      </w:pPr>
    </w:lvl>
    <w:lvl w:ilvl="6" w:tplc="A866F88C">
      <w:numFmt w:val="none"/>
      <w:lvlText w:val=""/>
      <w:lvlJc w:val="left"/>
      <w:pPr>
        <w:tabs>
          <w:tab w:val="num" w:pos="360"/>
        </w:tabs>
      </w:pPr>
    </w:lvl>
    <w:lvl w:ilvl="7" w:tplc="977E2C6E">
      <w:numFmt w:val="none"/>
      <w:lvlText w:val=""/>
      <w:lvlJc w:val="left"/>
      <w:pPr>
        <w:tabs>
          <w:tab w:val="num" w:pos="360"/>
        </w:tabs>
      </w:pPr>
    </w:lvl>
    <w:lvl w:ilvl="8" w:tplc="C060BC32">
      <w:numFmt w:val="none"/>
      <w:lvlText w:val=""/>
      <w:lvlJc w:val="left"/>
      <w:pPr>
        <w:tabs>
          <w:tab w:val="num" w:pos="360"/>
        </w:tabs>
      </w:pPr>
    </w:lvl>
  </w:abstractNum>
  <w:abstractNum w:abstractNumId="4">
    <w:nsid w:val="0D89661A"/>
    <w:multiLevelType w:val="hybridMultilevel"/>
    <w:tmpl w:val="535C76B8"/>
    <w:lvl w:ilvl="0" w:tplc="F4029CC2">
      <w:start w:val="1"/>
      <w:numFmt w:val="decimal"/>
      <w:lvlText w:val="%1."/>
      <w:lvlJc w:val="left"/>
      <w:pPr>
        <w:tabs>
          <w:tab w:val="num" w:pos="454"/>
        </w:tabs>
        <w:ind w:left="454"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F112858"/>
    <w:multiLevelType w:val="hybridMultilevel"/>
    <w:tmpl w:val="F51E3CDA"/>
    <w:lvl w:ilvl="0" w:tplc="E64EEB66">
      <w:start w:val="1"/>
      <w:numFmt w:val="decimal"/>
      <w:lvlText w:val="%1."/>
      <w:lvlJc w:val="left"/>
      <w:pPr>
        <w:tabs>
          <w:tab w:val="num" w:pos="1068"/>
        </w:tabs>
        <w:ind w:left="1068" w:hanging="360"/>
      </w:pPr>
      <w:rPr>
        <w:rFonts w:ascii="Tahoma" w:hAnsi="Tahoma" w:cs="Times New Roman" w:hint="default"/>
        <w:b/>
        <w:i w:val="0"/>
        <w:shadow/>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0112248"/>
    <w:multiLevelType w:val="hybridMultilevel"/>
    <w:tmpl w:val="06621EA4"/>
    <w:lvl w:ilvl="0" w:tplc="A7C0195A">
      <w:start w:val="3"/>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28818F7"/>
    <w:multiLevelType w:val="hybridMultilevel"/>
    <w:tmpl w:val="F1ACD746"/>
    <w:lvl w:ilvl="0" w:tplc="4CF25F22">
      <w:start w:val="3"/>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E720AC6"/>
    <w:multiLevelType w:val="hybridMultilevel"/>
    <w:tmpl w:val="84D2FE7E"/>
    <w:lvl w:ilvl="0" w:tplc="E030217E">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9">
    <w:nsid w:val="37BB3AA8"/>
    <w:multiLevelType w:val="hybridMultilevel"/>
    <w:tmpl w:val="7ADCD1EA"/>
    <w:lvl w:ilvl="0" w:tplc="BA7A8036">
      <w:start w:val="1"/>
      <w:numFmt w:val="lowerRoman"/>
      <w:lvlText w:val="%1."/>
      <w:lvlJc w:val="right"/>
      <w:pPr>
        <w:ind w:left="1174" w:hanging="360"/>
      </w:pPr>
      <w:rPr>
        <w:b/>
      </w:rPr>
    </w:lvl>
    <w:lvl w:ilvl="1" w:tplc="0C0A0019" w:tentative="1">
      <w:start w:val="1"/>
      <w:numFmt w:val="lowerLetter"/>
      <w:lvlText w:val="%2."/>
      <w:lvlJc w:val="left"/>
      <w:pPr>
        <w:ind w:left="1894" w:hanging="360"/>
      </w:pPr>
    </w:lvl>
    <w:lvl w:ilvl="2" w:tplc="0C0A001B" w:tentative="1">
      <w:start w:val="1"/>
      <w:numFmt w:val="lowerRoman"/>
      <w:lvlText w:val="%3."/>
      <w:lvlJc w:val="right"/>
      <w:pPr>
        <w:ind w:left="2614" w:hanging="180"/>
      </w:pPr>
    </w:lvl>
    <w:lvl w:ilvl="3" w:tplc="0C0A000F" w:tentative="1">
      <w:start w:val="1"/>
      <w:numFmt w:val="decimal"/>
      <w:lvlText w:val="%4."/>
      <w:lvlJc w:val="left"/>
      <w:pPr>
        <w:ind w:left="3334" w:hanging="360"/>
      </w:pPr>
    </w:lvl>
    <w:lvl w:ilvl="4" w:tplc="0C0A0019" w:tentative="1">
      <w:start w:val="1"/>
      <w:numFmt w:val="lowerLetter"/>
      <w:lvlText w:val="%5."/>
      <w:lvlJc w:val="left"/>
      <w:pPr>
        <w:ind w:left="4054" w:hanging="360"/>
      </w:pPr>
    </w:lvl>
    <w:lvl w:ilvl="5" w:tplc="0C0A001B" w:tentative="1">
      <w:start w:val="1"/>
      <w:numFmt w:val="lowerRoman"/>
      <w:lvlText w:val="%6."/>
      <w:lvlJc w:val="right"/>
      <w:pPr>
        <w:ind w:left="4774" w:hanging="180"/>
      </w:pPr>
    </w:lvl>
    <w:lvl w:ilvl="6" w:tplc="0C0A000F" w:tentative="1">
      <w:start w:val="1"/>
      <w:numFmt w:val="decimal"/>
      <w:lvlText w:val="%7."/>
      <w:lvlJc w:val="left"/>
      <w:pPr>
        <w:ind w:left="5494" w:hanging="360"/>
      </w:pPr>
    </w:lvl>
    <w:lvl w:ilvl="7" w:tplc="0C0A0019" w:tentative="1">
      <w:start w:val="1"/>
      <w:numFmt w:val="lowerLetter"/>
      <w:lvlText w:val="%8."/>
      <w:lvlJc w:val="left"/>
      <w:pPr>
        <w:ind w:left="6214" w:hanging="360"/>
      </w:pPr>
    </w:lvl>
    <w:lvl w:ilvl="8" w:tplc="0C0A001B" w:tentative="1">
      <w:start w:val="1"/>
      <w:numFmt w:val="lowerRoman"/>
      <w:lvlText w:val="%9."/>
      <w:lvlJc w:val="right"/>
      <w:pPr>
        <w:ind w:left="6934" w:hanging="180"/>
      </w:pPr>
    </w:lvl>
  </w:abstractNum>
  <w:abstractNum w:abstractNumId="10">
    <w:nsid w:val="3B7B237C"/>
    <w:multiLevelType w:val="hybridMultilevel"/>
    <w:tmpl w:val="012444D4"/>
    <w:lvl w:ilvl="0" w:tplc="F5C055C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44E306A8"/>
    <w:multiLevelType w:val="hybridMultilevel"/>
    <w:tmpl w:val="3A32E608"/>
    <w:lvl w:ilvl="0" w:tplc="4A1C6E70">
      <w:start w:val="1"/>
      <w:numFmt w:val="decimal"/>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2">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3">
    <w:nsid w:val="490628FE"/>
    <w:multiLevelType w:val="hybridMultilevel"/>
    <w:tmpl w:val="5A5AAEA8"/>
    <w:lvl w:ilvl="0" w:tplc="EFB20A9A">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4">
    <w:nsid w:val="568D15DF"/>
    <w:multiLevelType w:val="hybridMultilevel"/>
    <w:tmpl w:val="A1DC23A4"/>
    <w:lvl w:ilvl="0" w:tplc="0C0A0019">
      <w:start w:val="1"/>
      <w:numFmt w:val="lowerLetter"/>
      <w:lvlText w:val="%1."/>
      <w:lvlJc w:val="left"/>
      <w:pPr>
        <w:ind w:left="1120" w:hanging="360"/>
      </w:p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5">
    <w:nsid w:val="5E1931F5"/>
    <w:multiLevelType w:val="hybridMultilevel"/>
    <w:tmpl w:val="D41CE2DC"/>
    <w:lvl w:ilvl="0" w:tplc="BD609598">
      <w:start w:val="1"/>
      <w:numFmt w:val="decimal"/>
      <w:lvlText w:val="%1."/>
      <w:lvlJc w:val="left"/>
      <w:pPr>
        <w:tabs>
          <w:tab w:val="num" w:pos="360"/>
        </w:tabs>
        <w:ind w:left="360" w:hanging="360"/>
      </w:pPr>
      <w:rPr>
        <w:rFonts w:ascii="Tahoma" w:hAnsi="Tahoma" w:cs="Tahoma" w:hint="default"/>
        <w:b/>
        <w:sz w:val="20"/>
        <w:szCs w:val="20"/>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61862456"/>
    <w:multiLevelType w:val="hybridMultilevel"/>
    <w:tmpl w:val="2532449A"/>
    <w:lvl w:ilvl="0" w:tplc="417248C0">
      <w:start w:val="1"/>
      <w:numFmt w:val="decimal"/>
      <w:lvlText w:val="%1."/>
      <w:lvlJc w:val="left"/>
      <w:pPr>
        <w:tabs>
          <w:tab w:val="num" w:pos="360"/>
        </w:tabs>
        <w:ind w:left="360" w:hanging="360"/>
      </w:pPr>
      <w:rPr>
        <w:b/>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nsid w:val="6722597F"/>
    <w:multiLevelType w:val="hybridMultilevel"/>
    <w:tmpl w:val="AF6EBD46"/>
    <w:lvl w:ilvl="0" w:tplc="522A75B8">
      <w:start w:val="1"/>
      <w:numFmt w:val="decimal"/>
      <w:lvlText w:val="%1."/>
      <w:lvlJc w:val="left"/>
      <w:pPr>
        <w:ind w:left="720" w:hanging="360"/>
      </w:pPr>
      <w:rPr>
        <w:b/>
        <w:shadow w:val="0"/>
        <w:sz w:val="24"/>
        <w:szCs w:val="24"/>
      </w:rPr>
    </w:lvl>
    <w:lvl w:ilvl="1" w:tplc="3D94CC94">
      <w:start w:val="1"/>
      <w:numFmt w:val="decimal"/>
      <w:lvlText w:val="%2."/>
      <w:lvlJc w:val="left"/>
      <w:pPr>
        <w:tabs>
          <w:tab w:val="num" w:pos="1440"/>
        </w:tabs>
        <w:ind w:left="1440" w:hanging="360"/>
      </w:pPr>
      <w:rPr>
        <w:b/>
        <w:shadow w:val="0"/>
        <w:sz w:val="24"/>
        <w:szCs w:val="24"/>
      </w:rPr>
    </w:lvl>
    <w:lvl w:ilvl="2" w:tplc="BF607EF6">
      <w:start w:val="5"/>
      <w:numFmt w:val="upperLetter"/>
      <w:lvlText w:val="%3."/>
      <w:lvlJc w:val="left"/>
      <w:pPr>
        <w:tabs>
          <w:tab w:val="num" w:pos="2340"/>
        </w:tabs>
        <w:ind w:left="2340" w:hanging="360"/>
      </w:pPr>
      <w:rPr>
        <w:rFonts w:hint="default"/>
        <w:sz w:val="24"/>
        <w:szCs w:val="24"/>
      </w:rPr>
    </w:lvl>
    <w:lvl w:ilvl="3" w:tplc="0ADE54CC">
      <w:start w:val="1"/>
      <w:numFmt w:val="lowerLetter"/>
      <w:lvlText w:val="%4."/>
      <w:lvlJc w:val="left"/>
      <w:pPr>
        <w:ind w:left="2880" w:hanging="360"/>
      </w:pPr>
      <w:rPr>
        <w:rFonts w:hint="default"/>
        <w:b/>
      </w:rPr>
    </w:lvl>
    <w:lvl w:ilvl="4" w:tplc="B7E2CC06">
      <w:start w:val="1"/>
      <w:numFmt w:val="lowerRoman"/>
      <w:lvlText w:val="(%5)"/>
      <w:lvlJc w:val="left"/>
      <w:pPr>
        <w:ind w:left="3960" w:hanging="72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nsid w:val="742A4401"/>
    <w:multiLevelType w:val="hybridMultilevel"/>
    <w:tmpl w:val="4532242E"/>
    <w:lvl w:ilvl="0" w:tplc="75360182">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16"/>
  </w:num>
  <w:num w:numId="2">
    <w:abstractNumId w:val="10"/>
  </w:num>
  <w:num w:numId="3">
    <w:abstractNumId w:val="14"/>
  </w:num>
  <w:num w:numId="4">
    <w:abstractNumId w:val="11"/>
  </w:num>
  <w:num w:numId="5">
    <w:abstractNumId w:val="17"/>
  </w:num>
  <w:num w:numId="6">
    <w:abstractNumId w:val="3"/>
  </w:num>
  <w:num w:numId="7">
    <w:abstractNumId w:val="0"/>
  </w:num>
  <w:num w:numId="8">
    <w:abstractNumId w:val="1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8"/>
  </w:num>
  <w:num w:numId="12">
    <w:abstractNumId w:val="12"/>
  </w:num>
  <w:num w:numId="13">
    <w:abstractNumId w:val="2"/>
  </w:num>
  <w:num w:numId="14">
    <w:abstractNumId w:val="8"/>
  </w:num>
  <w:num w:numId="15">
    <w:abstractNumId w:val="4"/>
  </w:num>
  <w:num w:numId="16">
    <w:abstractNumId w:val="9"/>
  </w:num>
  <w:num w:numId="17">
    <w:abstractNumId w:val="1"/>
  </w:num>
  <w:num w:numId="18">
    <w:abstractNumId w:val="6"/>
  </w:num>
  <w:num w:numId="19">
    <w:abstractNumId w:val="15"/>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F31A7A"/>
    <w:rsid w:val="00070FAF"/>
    <w:rsid w:val="000A09D0"/>
    <w:rsid w:val="00117E78"/>
    <w:rsid w:val="00165ACF"/>
    <w:rsid w:val="00190839"/>
    <w:rsid w:val="001C6C04"/>
    <w:rsid w:val="001D3157"/>
    <w:rsid w:val="00243346"/>
    <w:rsid w:val="00244785"/>
    <w:rsid w:val="00266B38"/>
    <w:rsid w:val="002F2CE4"/>
    <w:rsid w:val="003B3C54"/>
    <w:rsid w:val="003C4B76"/>
    <w:rsid w:val="003D41FE"/>
    <w:rsid w:val="004504AC"/>
    <w:rsid w:val="004F332E"/>
    <w:rsid w:val="00503296"/>
    <w:rsid w:val="0054123A"/>
    <w:rsid w:val="00544CD7"/>
    <w:rsid w:val="005C380D"/>
    <w:rsid w:val="005D3AB3"/>
    <w:rsid w:val="006238E2"/>
    <w:rsid w:val="00623C2C"/>
    <w:rsid w:val="006358E8"/>
    <w:rsid w:val="00642CC8"/>
    <w:rsid w:val="00642E9A"/>
    <w:rsid w:val="00657092"/>
    <w:rsid w:val="006C0410"/>
    <w:rsid w:val="006E19A7"/>
    <w:rsid w:val="006E5F31"/>
    <w:rsid w:val="00741529"/>
    <w:rsid w:val="007728C3"/>
    <w:rsid w:val="00781E29"/>
    <w:rsid w:val="00804646"/>
    <w:rsid w:val="008445EA"/>
    <w:rsid w:val="00847257"/>
    <w:rsid w:val="008747A7"/>
    <w:rsid w:val="008A0308"/>
    <w:rsid w:val="008E2FB1"/>
    <w:rsid w:val="009560FA"/>
    <w:rsid w:val="009B1C66"/>
    <w:rsid w:val="00A21BBB"/>
    <w:rsid w:val="00A472E6"/>
    <w:rsid w:val="00AD7110"/>
    <w:rsid w:val="00B05429"/>
    <w:rsid w:val="00B2257E"/>
    <w:rsid w:val="00B67DD8"/>
    <w:rsid w:val="00B769E4"/>
    <w:rsid w:val="00B778BE"/>
    <w:rsid w:val="00BA2FFB"/>
    <w:rsid w:val="00BB0120"/>
    <w:rsid w:val="00BB400F"/>
    <w:rsid w:val="00BD171B"/>
    <w:rsid w:val="00BF50B0"/>
    <w:rsid w:val="00BF5DC8"/>
    <w:rsid w:val="00C24737"/>
    <w:rsid w:val="00CC086D"/>
    <w:rsid w:val="00CD02B0"/>
    <w:rsid w:val="00D72AF0"/>
    <w:rsid w:val="00D916B6"/>
    <w:rsid w:val="00D93ED4"/>
    <w:rsid w:val="00DA1F47"/>
    <w:rsid w:val="00E41CD3"/>
    <w:rsid w:val="00E51419"/>
    <w:rsid w:val="00E745A2"/>
    <w:rsid w:val="00E8118F"/>
    <w:rsid w:val="00E86C2E"/>
    <w:rsid w:val="00EA2BDE"/>
    <w:rsid w:val="00EA4E20"/>
    <w:rsid w:val="00EB7FD8"/>
    <w:rsid w:val="00ED3B69"/>
    <w:rsid w:val="00F178DF"/>
    <w:rsid w:val="00F31A7A"/>
    <w:rsid w:val="00F71648"/>
    <w:rsid w:val="00FC4CCB"/>
    <w:rsid w:val="00FF06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A7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31A7A"/>
    <w:pPr>
      <w:jc w:val="both"/>
    </w:pPr>
    <w:rPr>
      <w:rFonts w:ascii="Tahoma" w:hAnsi="Tahoma"/>
      <w:szCs w:val="20"/>
      <w:lang w:val="es-PE"/>
    </w:rPr>
  </w:style>
  <w:style w:type="character" w:customStyle="1" w:styleId="TextoindependienteCar">
    <w:name w:val="Texto independiente Car"/>
    <w:basedOn w:val="Fuentedeprrafopredeter"/>
    <w:link w:val="Textoindependiente"/>
    <w:rsid w:val="00F31A7A"/>
    <w:rPr>
      <w:rFonts w:ascii="Tahoma" w:eastAsia="Times New Roman" w:hAnsi="Tahoma" w:cs="Times New Roman"/>
      <w:sz w:val="24"/>
      <w:szCs w:val="20"/>
      <w:lang w:val="es-PE" w:eastAsia="es-ES"/>
    </w:rPr>
  </w:style>
  <w:style w:type="paragraph" w:styleId="Piedepgina">
    <w:name w:val="footer"/>
    <w:basedOn w:val="Normal"/>
    <w:link w:val="PiedepginaCar"/>
    <w:rsid w:val="00F31A7A"/>
    <w:pPr>
      <w:tabs>
        <w:tab w:val="center" w:pos="4252"/>
        <w:tab w:val="right" w:pos="8504"/>
      </w:tabs>
    </w:pPr>
  </w:style>
  <w:style w:type="character" w:customStyle="1" w:styleId="PiedepginaCar">
    <w:name w:val="Pie de página Car"/>
    <w:basedOn w:val="Fuentedeprrafopredeter"/>
    <w:link w:val="Piedepgina"/>
    <w:rsid w:val="00F31A7A"/>
    <w:rPr>
      <w:rFonts w:ascii="Times New Roman" w:eastAsia="Times New Roman" w:hAnsi="Times New Roman" w:cs="Times New Roman"/>
      <w:sz w:val="24"/>
      <w:szCs w:val="24"/>
      <w:lang w:eastAsia="es-ES"/>
    </w:rPr>
  </w:style>
  <w:style w:type="paragraph" w:styleId="Textonotapie">
    <w:name w:val="footnote text"/>
    <w:aliases w:val=" Car,Car, Car4,Car Car Car,Texto nota pie1,Body Text,Car4, Car2 Car Car Car Car Car, Car2 Car, Car2, Car1 Car,Car1 Car, Car2 Car1 Car,Car2 Car Car Car Car Car,Car2 Car Car,Car2 Car Car Car Car Car Car, Car1"/>
    <w:basedOn w:val="Normal"/>
    <w:link w:val="TextonotapieCar"/>
    <w:rsid w:val="00F31A7A"/>
    <w:rPr>
      <w:sz w:val="20"/>
      <w:szCs w:val="20"/>
    </w:rPr>
  </w:style>
  <w:style w:type="character" w:customStyle="1" w:styleId="TextonotapieCar">
    <w:name w:val="Texto nota pie Car"/>
    <w:aliases w:val=" Car Car,Car Car, Car4 Car,Car Car Car Car,Texto nota pie1 Car,Body Text Car,Car4 Car, Car2 Car Car Car Car Car Car, Car2 Car Car, Car2 Car1, Car1 Car Car,Car1 Car Car, Car2 Car1 Car Car,Car2 Car Car Car Car Car Car1,Car2 Car Car Car"/>
    <w:basedOn w:val="Fuentedeprrafopredeter"/>
    <w:link w:val="Textonotapie"/>
    <w:rsid w:val="00F31A7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31A7A"/>
    <w:rPr>
      <w:vertAlign w:val="superscript"/>
    </w:rPr>
  </w:style>
  <w:style w:type="paragraph" w:styleId="Prrafodelista">
    <w:name w:val="List Paragraph"/>
    <w:basedOn w:val="Normal"/>
    <w:uiPriority w:val="99"/>
    <w:qFormat/>
    <w:rsid w:val="00F31A7A"/>
    <w:pPr>
      <w:ind w:left="708"/>
    </w:pPr>
  </w:style>
  <w:style w:type="paragraph" w:styleId="NormalWeb">
    <w:name w:val="Normal (Web)"/>
    <w:basedOn w:val="Normal"/>
    <w:uiPriority w:val="99"/>
    <w:rsid w:val="00F31A7A"/>
    <w:pPr>
      <w:spacing w:before="100" w:beforeAutospacing="1" w:after="100" w:afterAutospacing="1"/>
    </w:pPr>
    <w:rPr>
      <w:rFonts w:eastAsia="MS Mincho"/>
    </w:rPr>
  </w:style>
  <w:style w:type="paragraph" w:customStyle="1" w:styleId="Textoindependiente21">
    <w:name w:val="Texto independiente 21"/>
    <w:basedOn w:val="Normal"/>
    <w:rsid w:val="00F31A7A"/>
    <w:pPr>
      <w:jc w:val="both"/>
    </w:pPr>
    <w:rPr>
      <w:rFonts w:ascii="Tahoma" w:hAnsi="Tahoma"/>
      <w:sz w:val="22"/>
      <w:szCs w:val="20"/>
    </w:rPr>
  </w:style>
  <w:style w:type="paragraph" w:styleId="Sinespaciado">
    <w:name w:val="No Spacing"/>
    <w:uiPriority w:val="1"/>
    <w:qFormat/>
    <w:rsid w:val="00F31A7A"/>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unhideWhenUsed/>
    <w:rsid w:val="00781E29"/>
    <w:pPr>
      <w:tabs>
        <w:tab w:val="center" w:pos="4252"/>
        <w:tab w:val="right" w:pos="8504"/>
      </w:tabs>
    </w:pPr>
    <w:rPr>
      <w:sz w:val="20"/>
      <w:szCs w:val="20"/>
    </w:rPr>
  </w:style>
  <w:style w:type="character" w:customStyle="1" w:styleId="EncabezadoCar">
    <w:name w:val="Encabezado Car"/>
    <w:aliases w:val="maria Car,h Car"/>
    <w:basedOn w:val="Fuentedeprrafopredeter"/>
    <w:link w:val="Encabezado"/>
    <w:uiPriority w:val="99"/>
    <w:rsid w:val="00781E29"/>
    <w:rPr>
      <w:rFonts w:ascii="Times New Roman" w:eastAsia="Times New Roman" w:hAnsi="Times New Roman" w:cs="Times New Roman"/>
      <w:sz w:val="20"/>
      <w:szCs w:val="20"/>
      <w:lang w:eastAsia="es-ES"/>
    </w:rPr>
  </w:style>
  <w:style w:type="table" w:styleId="Tablaconcuadrcula">
    <w:name w:val="Table Grid"/>
    <w:basedOn w:val="Tablanormal"/>
    <w:uiPriority w:val="59"/>
    <w:rsid w:val="00266B38"/>
    <w:pPr>
      <w:spacing w:after="0" w:line="240" w:lineRule="auto"/>
    </w:pPr>
    <w:rPr>
      <w:rFonts w:ascii="Calibri" w:eastAsia="Calibri" w:hAnsi="Calibri" w:cs="Times New Roman"/>
      <w:sz w:val="20"/>
      <w:szCs w:val="20"/>
      <w:lang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2">
    <w:name w:val="Body Text 2"/>
    <w:basedOn w:val="Normal"/>
    <w:link w:val="Textoindependiente2Car"/>
    <w:uiPriority w:val="99"/>
    <w:semiHidden/>
    <w:unhideWhenUsed/>
    <w:rsid w:val="001C6C04"/>
    <w:pPr>
      <w:spacing w:after="120" w:line="480" w:lineRule="auto"/>
    </w:pPr>
  </w:style>
  <w:style w:type="character" w:customStyle="1" w:styleId="Textoindependiente2Car">
    <w:name w:val="Texto independiente 2 Car"/>
    <w:basedOn w:val="Fuentedeprrafopredeter"/>
    <w:link w:val="Textoindependiente2"/>
    <w:uiPriority w:val="99"/>
    <w:semiHidden/>
    <w:rsid w:val="001C6C04"/>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semiHidden/>
    <w:unhideWhenUsed/>
    <w:rsid w:val="00503296"/>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03296"/>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semiHidden/>
    <w:unhideWhenUsed/>
    <w:rsid w:val="008A0308"/>
    <w:pPr>
      <w:spacing w:after="120"/>
      <w:ind w:left="283"/>
    </w:pPr>
  </w:style>
  <w:style w:type="character" w:customStyle="1" w:styleId="SangradetextonormalCar">
    <w:name w:val="Sangría de texto normal Car"/>
    <w:basedOn w:val="Fuentedeprrafopredeter"/>
    <w:link w:val="Sangradetextonormal"/>
    <w:uiPriority w:val="99"/>
    <w:semiHidden/>
    <w:rsid w:val="008A0308"/>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729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8</Pages>
  <Words>2971</Words>
  <Characters>16343</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77</cp:revision>
  <cp:lastPrinted>2011-03-04T15:10:00Z</cp:lastPrinted>
  <dcterms:created xsi:type="dcterms:W3CDTF">2009-12-29T19:22:00Z</dcterms:created>
  <dcterms:modified xsi:type="dcterms:W3CDTF">2011-04-06T16:24:00Z</dcterms:modified>
</cp:coreProperties>
</file>